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7F6F4F4C"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955BA9">
        <w:rPr>
          <w:bCs/>
          <w:noProof w:val="0"/>
          <w:sz w:val="24"/>
          <w:szCs w:val="24"/>
        </w:rPr>
        <w:t>4</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DE2B84">
        <w:rPr>
          <w:bCs/>
          <w:noProof w:val="0"/>
          <w:sz w:val="24"/>
          <w:szCs w:val="24"/>
        </w:rPr>
        <w:t>210</w:t>
      </w:r>
      <w:r w:rsidR="00691B58">
        <w:rPr>
          <w:bCs/>
          <w:noProof w:val="0"/>
          <w:sz w:val="24"/>
          <w:szCs w:val="24"/>
        </w:rPr>
        <w:t>5868</w:t>
      </w:r>
    </w:p>
    <w:p w14:paraId="11776FA6" w14:textId="10F2B9C4" w:rsidR="00A209D6" w:rsidRPr="00465587" w:rsidRDefault="00955BA9" w:rsidP="00A209D6">
      <w:pPr>
        <w:pStyle w:val="Header"/>
        <w:tabs>
          <w:tab w:val="right" w:pos="9639"/>
        </w:tabs>
        <w:rPr>
          <w:rFonts w:eastAsia="SimSun"/>
          <w:bCs/>
          <w:sz w:val="24"/>
          <w:szCs w:val="24"/>
          <w:lang w:eastAsia="zh-CN"/>
        </w:rPr>
      </w:pPr>
      <w:r>
        <w:rPr>
          <w:rFonts w:eastAsia="SimSun"/>
          <w:bCs/>
          <w:sz w:val="24"/>
          <w:szCs w:val="24"/>
          <w:lang w:eastAsia="zh-CN"/>
        </w:rPr>
        <w:t>19</w:t>
      </w:r>
      <w:r w:rsidR="002906AE" w:rsidRPr="006574C0">
        <w:rPr>
          <w:rFonts w:eastAsia="SimSun"/>
          <w:bCs/>
          <w:sz w:val="24"/>
          <w:szCs w:val="24"/>
          <w:lang w:eastAsia="zh-CN"/>
        </w:rPr>
        <w:t xml:space="preserve"> </w:t>
      </w:r>
      <w:r>
        <w:rPr>
          <w:rFonts w:eastAsia="SimSun"/>
          <w:bCs/>
          <w:sz w:val="24"/>
          <w:szCs w:val="24"/>
          <w:lang w:eastAsia="zh-CN"/>
        </w:rPr>
        <w:t>May</w:t>
      </w:r>
      <w:r w:rsidR="002906AE">
        <w:rPr>
          <w:rFonts w:eastAsia="SimSun"/>
          <w:bCs/>
          <w:sz w:val="24"/>
          <w:szCs w:val="24"/>
          <w:lang w:eastAsia="zh-CN"/>
        </w:rPr>
        <w:t xml:space="preserve"> </w:t>
      </w:r>
      <w:r w:rsidR="006574C0" w:rsidRPr="006574C0">
        <w:rPr>
          <w:rFonts w:eastAsia="SimSun"/>
          <w:bCs/>
          <w:sz w:val="24"/>
          <w:szCs w:val="24"/>
          <w:lang w:eastAsia="zh-CN"/>
        </w:rPr>
        <w:t xml:space="preserve">– </w:t>
      </w:r>
      <w:r>
        <w:rPr>
          <w:rFonts w:eastAsia="SimSun"/>
          <w:bCs/>
          <w:sz w:val="24"/>
          <w:szCs w:val="24"/>
          <w:lang w:eastAsia="zh-CN"/>
        </w:rPr>
        <w:t>27</w:t>
      </w:r>
      <w:r w:rsidR="002906AE" w:rsidRPr="006574C0">
        <w:rPr>
          <w:rFonts w:eastAsia="SimSun"/>
          <w:bCs/>
          <w:sz w:val="24"/>
          <w:szCs w:val="24"/>
          <w:lang w:eastAsia="zh-CN"/>
        </w:rPr>
        <w:t xml:space="preserve"> </w:t>
      </w:r>
      <w:r>
        <w:rPr>
          <w:rFonts w:eastAsia="SimSun"/>
          <w:bCs/>
          <w:sz w:val="24"/>
          <w:szCs w:val="24"/>
          <w:lang w:eastAsia="zh-CN"/>
        </w:rPr>
        <w:t>May</w:t>
      </w:r>
      <w:r w:rsidR="002906AE" w:rsidRPr="006574C0">
        <w:rPr>
          <w:rFonts w:eastAsia="SimSun"/>
          <w:bCs/>
          <w:sz w:val="24"/>
          <w:szCs w:val="24"/>
          <w:lang w:eastAsia="zh-CN"/>
        </w:rPr>
        <w:t xml:space="preserve"> </w:t>
      </w:r>
      <w:r w:rsidR="006574C0" w:rsidRPr="006574C0">
        <w:rPr>
          <w:rFonts w:eastAsia="SimSun"/>
          <w:bCs/>
          <w:sz w:val="24"/>
          <w:szCs w:val="24"/>
          <w:lang w:eastAsia="zh-CN"/>
        </w:rPr>
        <w:t>20</w:t>
      </w:r>
      <w:r w:rsidR="009376CD">
        <w:rPr>
          <w:rFonts w:eastAsia="SimSun"/>
          <w:bCs/>
          <w:sz w:val="24"/>
          <w:szCs w:val="24"/>
          <w:lang w:eastAsia="zh-CN"/>
        </w:rPr>
        <w:t>2</w:t>
      </w:r>
      <w:r w:rsidR="002906AE">
        <w:rPr>
          <w:rFonts w:eastAsia="SimSun"/>
          <w:bCs/>
          <w:sz w:val="24"/>
          <w:szCs w:val="24"/>
          <w:lang w:eastAsia="zh-CN"/>
        </w:rPr>
        <w:t>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F07860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40FE9" w:rsidRPr="00D16E46">
        <w:rPr>
          <w:rFonts w:cs="Arial"/>
          <w:b/>
          <w:bCs/>
          <w:sz w:val="24"/>
        </w:rPr>
        <w:t>8.5.2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ACD4308"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F62C0">
        <w:rPr>
          <w:rFonts w:ascii="Arial" w:hAnsi="Arial" w:cs="Arial"/>
          <w:b/>
          <w:bCs/>
          <w:sz w:val="24"/>
        </w:rPr>
        <w:t>Time Synchronization</w:t>
      </w:r>
      <w:r w:rsidR="006D51E2" w:rsidRPr="00D16E46">
        <w:rPr>
          <w:rFonts w:ascii="Arial" w:hAnsi="Arial" w:cs="Arial"/>
          <w:b/>
          <w:bCs/>
          <w:sz w:val="24"/>
        </w:rPr>
        <w:t xml:space="preserve"> </w:t>
      </w:r>
      <w:r w:rsidR="004B3687">
        <w:rPr>
          <w:rFonts w:ascii="Arial" w:hAnsi="Arial" w:cs="Arial"/>
          <w:b/>
          <w:bCs/>
          <w:sz w:val="24"/>
        </w:rPr>
        <w:t xml:space="preserve">Signalling </w:t>
      </w:r>
      <w:r w:rsidR="0027691E">
        <w:rPr>
          <w:rFonts w:ascii="Arial" w:hAnsi="Arial" w:cs="Arial"/>
          <w:b/>
          <w:bCs/>
          <w:sz w:val="24"/>
        </w:rPr>
        <w:t>Analysis</w:t>
      </w:r>
    </w:p>
    <w:p w14:paraId="1F147C23" w14:textId="7978961E" w:rsidR="00A209D6" w:rsidRPr="00331CD0" w:rsidRDefault="00A209D6" w:rsidP="00A209D6">
      <w:pPr>
        <w:ind w:left="1985" w:hanging="1985"/>
        <w:rPr>
          <w:rFonts w:ascii="Arial" w:hAnsi="Arial" w:cs="Arial"/>
          <w:b/>
          <w:bCs/>
          <w:sz w:val="24"/>
          <w:lang w:val="en-US"/>
        </w:rPr>
      </w:pPr>
      <w:r w:rsidRPr="00331CD0">
        <w:rPr>
          <w:rFonts w:ascii="Arial" w:hAnsi="Arial" w:cs="Arial"/>
          <w:b/>
          <w:bCs/>
          <w:sz w:val="24"/>
          <w:lang w:val="en-US"/>
        </w:rPr>
        <w:t>WID/SID:</w:t>
      </w:r>
      <w:r w:rsidRPr="00331CD0">
        <w:rPr>
          <w:rFonts w:ascii="Arial" w:hAnsi="Arial" w:cs="Arial"/>
          <w:b/>
          <w:bCs/>
          <w:sz w:val="24"/>
          <w:lang w:val="en-US"/>
        </w:rPr>
        <w:tab/>
      </w:r>
      <w:bookmarkStart w:id="0" w:name="_Hlk59334320"/>
      <w:proofErr w:type="spellStart"/>
      <w:r w:rsidR="003507AD" w:rsidRPr="00331CD0">
        <w:rPr>
          <w:rFonts w:ascii="Arial" w:hAnsi="Arial" w:cs="Arial"/>
          <w:b/>
          <w:bCs/>
          <w:sz w:val="24"/>
          <w:szCs w:val="24"/>
          <w:lang w:val="en-US"/>
        </w:rPr>
        <w:t>NR_IIOT_URLLC_enh</w:t>
      </w:r>
      <w:bookmarkEnd w:id="0"/>
      <w:proofErr w:type="spellEnd"/>
      <w:r w:rsidR="00994B05">
        <w:rPr>
          <w:rFonts w:ascii="Arial" w:hAnsi="Arial" w:cs="Arial"/>
          <w:b/>
          <w:bCs/>
          <w:sz w:val="24"/>
          <w:szCs w:val="24"/>
          <w:lang w:val="en-US"/>
        </w:rPr>
        <w:t xml:space="preserve"> </w:t>
      </w:r>
      <w:r w:rsidR="00994B05">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C74E8EC" w14:textId="3C576E36" w:rsidR="00325B86" w:rsidRDefault="00325B86" w:rsidP="00325B86">
      <w:pPr>
        <w:jc w:val="both"/>
      </w:pPr>
      <w:r>
        <w:t xml:space="preserve">The revised </w:t>
      </w:r>
      <w:r w:rsidR="00EC01D7">
        <w:t xml:space="preserve">Rel-17 NR </w:t>
      </w:r>
      <w:proofErr w:type="spellStart"/>
      <w:r>
        <w:t>IIoT</w:t>
      </w:r>
      <w:proofErr w:type="spellEnd"/>
      <w:r>
        <w:t xml:space="preserve"> / URLLC work item description </w:t>
      </w:r>
      <w:r w:rsidR="00B5537B">
        <w:t xml:space="preserve">in </w:t>
      </w:r>
      <w:r w:rsidR="00B5537B" w:rsidRPr="00364881">
        <w:t>RP-201310</w:t>
      </w:r>
      <w:r w:rsidR="00B5537B" w:rsidDel="00B5537B">
        <w:t xml:space="preserve"> </w:t>
      </w:r>
      <w:r>
        <w:t>has enhancements for time synchronization as one of its main objectives:</w:t>
      </w:r>
    </w:p>
    <w:tbl>
      <w:tblPr>
        <w:tblStyle w:val="TableGrid"/>
        <w:tblW w:w="0" w:type="auto"/>
        <w:tblLook w:val="04A0" w:firstRow="1" w:lastRow="0" w:firstColumn="1" w:lastColumn="0" w:noHBand="0" w:noVBand="1"/>
      </w:tblPr>
      <w:tblGrid>
        <w:gridCol w:w="9629"/>
      </w:tblGrid>
      <w:tr w:rsidR="00325B86" w14:paraId="0B572B51" w14:textId="77777777" w:rsidTr="00934701">
        <w:tc>
          <w:tcPr>
            <w:tcW w:w="9629" w:type="dxa"/>
          </w:tcPr>
          <w:p w14:paraId="4C1865A6" w14:textId="77777777" w:rsidR="00325B86" w:rsidRDefault="00325B86" w:rsidP="00934701">
            <w:pPr>
              <w:numPr>
                <w:ilvl w:val="0"/>
                <w:numId w:val="9"/>
              </w:numPr>
              <w:overflowPunct w:val="0"/>
              <w:autoSpaceDE w:val="0"/>
              <w:autoSpaceDN w:val="0"/>
              <w:adjustRightInd w:val="0"/>
              <w:spacing w:after="0"/>
              <w:textAlignment w:val="baseline"/>
              <w:rPr>
                <w:bCs/>
              </w:rPr>
            </w:pPr>
            <w:r>
              <w:rPr>
                <w:bCs/>
              </w:rPr>
              <w:t>Enhancements for support of time synchronization:</w:t>
            </w:r>
          </w:p>
          <w:p w14:paraId="5F0068D2" w14:textId="77777777" w:rsidR="00325B86" w:rsidRDefault="00325B86" w:rsidP="00934701">
            <w:pPr>
              <w:numPr>
                <w:ilvl w:val="0"/>
                <w:numId w:val="8"/>
              </w:numPr>
              <w:overflowPunct w:val="0"/>
              <w:autoSpaceDE w:val="0"/>
              <w:autoSpaceDN w:val="0"/>
              <w:adjustRightInd w:val="0"/>
              <w:spacing w:after="0"/>
              <w:textAlignment w:val="baseline"/>
              <w:rPr>
                <w:bCs/>
              </w:rPr>
            </w:pPr>
            <w:r>
              <w:t>RAN impacts of SA2 work on uplink time synchronization for TSN, if any.</w:t>
            </w:r>
            <w:r>
              <w:rPr>
                <w:bCs/>
              </w:rPr>
              <w:t xml:space="preserve"> [RAN2]</w:t>
            </w:r>
          </w:p>
          <w:p w14:paraId="2DC22020" w14:textId="77777777" w:rsidR="00325B86" w:rsidRPr="006D7B6E" w:rsidRDefault="00325B86" w:rsidP="00934701">
            <w:pPr>
              <w:numPr>
                <w:ilvl w:val="0"/>
                <w:numId w:val="8"/>
              </w:numPr>
              <w:overflowPunct w:val="0"/>
              <w:autoSpaceDE w:val="0"/>
              <w:autoSpaceDN w:val="0"/>
              <w:adjustRightInd w:val="0"/>
              <w:spacing w:after="0"/>
              <w:textAlignment w:val="baseline"/>
              <w:rPr>
                <w:bCs/>
              </w:rPr>
            </w:pPr>
            <w:r w:rsidRPr="00D82787">
              <w:rPr>
                <w:bCs/>
              </w:rPr>
              <w:t>Propagation delay compensation enhancements</w:t>
            </w:r>
            <w:r>
              <w:rPr>
                <w:bCs/>
              </w:rPr>
              <w:t xml:space="preserve"> (including mobility issues, if any). [RAN2, RAN1, RAN3, RAN4]</w:t>
            </w:r>
          </w:p>
        </w:tc>
      </w:tr>
    </w:tbl>
    <w:p w14:paraId="146899A4" w14:textId="4CB8EBB3" w:rsidR="00325B86" w:rsidRDefault="00325B86" w:rsidP="00325B86">
      <w:pPr>
        <w:spacing w:after="0"/>
        <w:jc w:val="both"/>
      </w:pPr>
    </w:p>
    <w:p w14:paraId="6D37148F" w14:textId="0405C37B" w:rsidR="00135FD7" w:rsidRDefault="009D5014" w:rsidP="00325B86">
      <w:pPr>
        <w:spacing w:after="0"/>
        <w:jc w:val="both"/>
      </w:pPr>
      <w:r>
        <w:t xml:space="preserve">This paper will discuss two aspects. </w:t>
      </w:r>
      <w:r w:rsidR="00CE796B">
        <w:t>First,</w:t>
      </w:r>
      <w:r>
        <w:t xml:space="preserve"> we </w:t>
      </w:r>
      <w:r w:rsidR="003523E4">
        <w:t xml:space="preserve">address the question raised by </w:t>
      </w:r>
      <w:r w:rsidR="00135FD7">
        <w:t xml:space="preserve">SA2 </w:t>
      </w:r>
      <w:r w:rsidR="003523E4">
        <w:t>in an</w:t>
      </w:r>
      <w:r w:rsidR="00135FD7">
        <w:t xml:space="preserve"> LS</w:t>
      </w:r>
      <w:r>
        <w:t xml:space="preserve"> (</w:t>
      </w:r>
      <w:r w:rsidRPr="009D5014">
        <w:t>S2-2103023</w:t>
      </w:r>
      <w:r>
        <w:t>)</w:t>
      </w:r>
      <w:r w:rsidR="00135FD7">
        <w:t xml:space="preserve"> to RAN2 (</w:t>
      </w:r>
      <w:proofErr w:type="spellStart"/>
      <w:r w:rsidR="00135FD7">
        <w:t>cc’ed</w:t>
      </w:r>
      <w:proofErr w:type="spellEnd"/>
      <w:r w:rsidR="00135FD7">
        <w:t xml:space="preserve"> RAN3)</w:t>
      </w:r>
      <w:r w:rsidR="003523E4">
        <w:t>. The LS</w:t>
      </w:r>
      <w:r w:rsidR="00135FD7">
        <w:t xml:space="preserve"> ask</w:t>
      </w:r>
      <w:r w:rsidR="003523E4">
        <w:t>s</w:t>
      </w:r>
      <w:r w:rsidR="00135FD7">
        <w:t xml:space="preserve"> </w:t>
      </w:r>
      <w:r w:rsidR="00C9743B">
        <w:t xml:space="preserve">whether RAN2 will find it beneficial to know an NG-RAN time synchronization accuracy budget per UE. </w:t>
      </w:r>
    </w:p>
    <w:p w14:paraId="0350C597" w14:textId="77777777" w:rsidR="00135FD7" w:rsidRDefault="00135FD7" w:rsidP="00325B86">
      <w:pPr>
        <w:spacing w:after="0"/>
        <w:jc w:val="both"/>
      </w:pPr>
    </w:p>
    <w:p w14:paraId="4E22ACF5" w14:textId="4873B630" w:rsidR="008B3C76" w:rsidRDefault="003523E4">
      <w:pPr>
        <w:spacing w:after="0"/>
        <w:jc w:val="both"/>
      </w:pPr>
      <w:r>
        <w:t xml:space="preserve">Secondly, we think that despite </w:t>
      </w:r>
      <w:r w:rsidR="00C00CBE">
        <w:t>it is now up to RAN1 to de</w:t>
      </w:r>
      <w:r w:rsidR="00EC01D7">
        <w:t xml:space="preserve">cide </w:t>
      </w:r>
      <w:r w:rsidR="00C00CBE">
        <w:t xml:space="preserve">which </w:t>
      </w:r>
      <w:r w:rsidR="002C3188">
        <w:t>propagation delay compensation (</w:t>
      </w:r>
      <w:r w:rsidR="00C00CBE">
        <w:t>PDC</w:t>
      </w:r>
      <w:r w:rsidR="002C3188">
        <w:t>)</w:t>
      </w:r>
      <w:r w:rsidR="00C9743B">
        <w:t xml:space="preserve"> </w:t>
      </w:r>
      <w:r w:rsidR="00C00CBE">
        <w:t>options should be supported for the considered scenarios in Release-17</w:t>
      </w:r>
      <w:r w:rsidR="00AB403E">
        <w:t xml:space="preserve"> (LS in R2-2010837)</w:t>
      </w:r>
      <w:r w:rsidR="00C00CBE">
        <w:t xml:space="preserve">, RAN2 can still discuss </w:t>
      </w:r>
      <w:r w:rsidR="001D35CB">
        <w:t>the signalling framework related to PDC (which can be agnostic to a specific PDC option)</w:t>
      </w:r>
      <w:r w:rsidR="0080679C">
        <w:t xml:space="preserve">. </w:t>
      </w:r>
      <w:r>
        <w:t xml:space="preserve">The second part of this paper will therefore discuss signalling aspects related to PDC. </w:t>
      </w:r>
    </w:p>
    <w:p w14:paraId="031768C6" w14:textId="77777777" w:rsidR="00325B86" w:rsidRPr="007242F6" w:rsidRDefault="00325B86" w:rsidP="00325B86">
      <w:pPr>
        <w:pStyle w:val="ListParagraph"/>
        <w:spacing w:line="259" w:lineRule="auto"/>
        <w:rPr>
          <w:rFonts w:ascii="Times New Roman" w:eastAsia="Batang" w:hAnsi="Times New Roman" w:cs="Times New Roman"/>
          <w:b/>
          <w:i/>
          <w:color w:val="C00000"/>
          <w:sz w:val="20"/>
          <w:szCs w:val="20"/>
        </w:rPr>
      </w:pPr>
    </w:p>
    <w:p w14:paraId="766D6D29" w14:textId="5EE23013" w:rsidR="00A209D6" w:rsidRDefault="00453373" w:rsidP="00A209D6">
      <w:pPr>
        <w:pStyle w:val="Heading1"/>
      </w:pPr>
      <w:r>
        <w:t>2</w:t>
      </w:r>
      <w:r w:rsidR="00A209D6" w:rsidRPr="006E13D1">
        <w:tab/>
      </w:r>
      <w:r w:rsidR="00EA295E">
        <w:t>Discussion</w:t>
      </w:r>
    </w:p>
    <w:p w14:paraId="5ABB87D9" w14:textId="20808570" w:rsidR="00A04620" w:rsidRDefault="00A04620" w:rsidP="00A04620">
      <w:pPr>
        <w:pStyle w:val="Heading2"/>
      </w:pPr>
      <w:r>
        <w:t>2</w:t>
      </w:r>
      <w:r w:rsidRPr="006E13D1">
        <w:t>.</w:t>
      </w:r>
      <w:r>
        <w:t>1</w:t>
      </w:r>
      <w:r w:rsidRPr="006E13D1">
        <w:tab/>
      </w:r>
      <w:r>
        <w:t>Benefits of Time-Synchronization Budget at NG-RAN</w:t>
      </w:r>
    </w:p>
    <w:p w14:paraId="1922A4FA" w14:textId="567ED4EE" w:rsidR="008A1B79" w:rsidRDefault="008A1B79" w:rsidP="00A04620">
      <w:pPr>
        <w:jc w:val="both"/>
        <w:rPr>
          <w:lang w:val="en-US"/>
        </w:rPr>
      </w:pPr>
      <w:r>
        <w:t>TS 22.104</w:t>
      </w:r>
      <w:r>
        <w:rPr>
          <w:lang w:val="en-US"/>
        </w:rPr>
        <w:t xml:space="preserve"> [</w:t>
      </w:r>
      <w:r w:rsidR="00517422">
        <w:rPr>
          <w:lang w:val="en-US"/>
        </w:rPr>
        <w:t>1</w:t>
      </w:r>
      <w:r>
        <w:rPr>
          <w:lang w:val="en-US"/>
        </w:rPr>
        <w:t>] defines</w:t>
      </w:r>
      <w:r>
        <w:t xml:space="preserve"> 1us or 900ns of clock synchronicity budget for the RAN scenarios under evaluation (i.e. smart grid and control-to-control). As part of </w:t>
      </w:r>
      <w:r w:rsidRPr="00F122BF">
        <w:rPr>
          <w:lang w:val="en-US"/>
        </w:rPr>
        <w:t>time sync</w:t>
      </w:r>
      <w:r>
        <w:rPr>
          <w:lang w:val="en-US"/>
        </w:rPr>
        <w:t xml:space="preserve">hronization service configuration under discussion in SA2 for Release 17, the time synchronization accuracy requirement is being examined to determine its use within the 5GS. </w:t>
      </w:r>
      <w:r w:rsidR="00331CD0">
        <w:rPr>
          <w:lang w:val="en-US"/>
        </w:rPr>
        <w:t xml:space="preserve">The time synchronization accuracy </w:t>
      </w:r>
      <w:r w:rsidR="00272581">
        <w:rPr>
          <w:lang w:val="en-US"/>
        </w:rPr>
        <w:t xml:space="preserve">requirement </w:t>
      </w:r>
      <w:r w:rsidR="00331CD0">
        <w:rPr>
          <w:lang w:val="en-US"/>
        </w:rPr>
        <w:t>can impact, for example, the Reference Time Information (RTI) distribution configuration to the UE (e.g. SIB9/RRC signaling, periodicity) and the Propagation Delay Compensation (PDC) decision [2]</w:t>
      </w:r>
      <w:r w:rsidR="00272581">
        <w:rPr>
          <w:lang w:val="en-US"/>
        </w:rPr>
        <w:t xml:space="preserve"> for the two time synchronization processes of the 5GS:</w:t>
      </w:r>
    </w:p>
    <w:p w14:paraId="611FB9E0" w14:textId="77777777" w:rsidR="008A1B79" w:rsidRPr="00331CD0" w:rsidRDefault="008A1B79" w:rsidP="00A04620">
      <w:pPr>
        <w:pStyle w:val="ListParagraph"/>
        <w:numPr>
          <w:ilvl w:val="0"/>
          <w:numId w:val="31"/>
        </w:numPr>
        <w:spacing w:after="180" w:line="240" w:lineRule="auto"/>
        <w:contextualSpacing/>
        <w:jc w:val="both"/>
        <w:rPr>
          <w:rFonts w:ascii="Times New Roman" w:hAnsi="Times New Roman" w:cs="Times New Roman"/>
          <w:sz w:val="20"/>
          <w:szCs w:val="20"/>
          <w:lang w:val="en-US"/>
        </w:rPr>
      </w:pPr>
      <w:r w:rsidRPr="00331CD0">
        <w:rPr>
          <w:rFonts w:ascii="Times New Roman" w:hAnsi="Times New Roman" w:cs="Times New Roman"/>
          <w:sz w:val="20"/>
          <w:szCs w:val="20"/>
          <w:lang w:val="en-US"/>
        </w:rPr>
        <w:t>For 5G internal clock distribution: RTI distribution configuration to the UE (e.g. SIB9/RRC signaling, periodicity), PDC decision.</w:t>
      </w:r>
    </w:p>
    <w:p w14:paraId="192AA2EA" w14:textId="77777777" w:rsidR="008A1B79" w:rsidRPr="00331CD0" w:rsidRDefault="008A1B79" w:rsidP="00A04620">
      <w:pPr>
        <w:pStyle w:val="ListParagraph"/>
        <w:numPr>
          <w:ilvl w:val="0"/>
          <w:numId w:val="31"/>
        </w:numPr>
        <w:spacing w:after="180" w:line="240" w:lineRule="auto"/>
        <w:contextualSpacing/>
        <w:jc w:val="both"/>
        <w:rPr>
          <w:rFonts w:ascii="Times New Roman" w:hAnsi="Times New Roman" w:cs="Times New Roman"/>
          <w:sz w:val="20"/>
          <w:szCs w:val="20"/>
          <w:lang w:val="en-US"/>
        </w:rPr>
      </w:pPr>
      <w:r w:rsidRPr="00331CD0">
        <w:rPr>
          <w:rFonts w:ascii="Times New Roman" w:hAnsi="Times New Roman" w:cs="Times New Roman"/>
          <w:sz w:val="20"/>
          <w:szCs w:val="20"/>
          <w:lang w:val="en-US"/>
        </w:rPr>
        <w:t>For vertical’s clock via (g)PTP messages: RTI distribution configuration to the UE (e.g. SIB9/RRC signaling, periodicity), PDC decision, NW-TT and DS-TT time stamping based on 5G clock in the (g)PTP messages, DS-TT determination of offset using RTI and (g)PTP messages to align with the end station, PTP network size supported (each PTP hop adds a certain error budget to the network component of the synchronicity budget).</w:t>
      </w:r>
    </w:p>
    <w:p w14:paraId="13B8AB00" w14:textId="761C9686" w:rsidR="008A1B79" w:rsidRPr="00E912ED" w:rsidRDefault="008A1B79" w:rsidP="00A04620">
      <w:pPr>
        <w:jc w:val="both"/>
        <w:rPr>
          <w:b/>
          <w:bCs/>
          <w:lang w:val="en-US"/>
        </w:rPr>
      </w:pPr>
      <w:r w:rsidRPr="00F95081">
        <w:rPr>
          <w:b/>
          <w:bCs/>
          <w:lang w:val="en-US"/>
        </w:rPr>
        <w:t xml:space="preserve">Observation 1: </w:t>
      </w:r>
      <w:r>
        <w:rPr>
          <w:b/>
          <w:bCs/>
          <w:lang w:val="en-US"/>
        </w:rPr>
        <w:t xml:space="preserve">Fulfilling time synchronization accuracy requirement impacts </w:t>
      </w:r>
      <w:r w:rsidR="00272581">
        <w:rPr>
          <w:b/>
          <w:bCs/>
          <w:lang w:val="en-US"/>
        </w:rPr>
        <w:t xml:space="preserve">distribution of </w:t>
      </w:r>
      <w:r w:rsidRPr="00E912ED">
        <w:rPr>
          <w:b/>
          <w:bCs/>
          <w:lang w:val="en-US"/>
        </w:rPr>
        <w:t>vertical</w:t>
      </w:r>
      <w:r>
        <w:rPr>
          <w:b/>
          <w:bCs/>
          <w:lang w:val="en-US"/>
        </w:rPr>
        <w:t>’s clock</w:t>
      </w:r>
      <w:r w:rsidRPr="00E912ED">
        <w:rPr>
          <w:b/>
          <w:bCs/>
          <w:lang w:val="en-US"/>
        </w:rPr>
        <w:t xml:space="preserve"> (</w:t>
      </w:r>
      <w:r>
        <w:rPr>
          <w:b/>
          <w:bCs/>
          <w:lang w:val="en-US"/>
        </w:rPr>
        <w:t xml:space="preserve">using </w:t>
      </w:r>
      <w:r w:rsidRPr="00E912ED">
        <w:rPr>
          <w:b/>
          <w:bCs/>
          <w:lang w:val="en-US"/>
        </w:rPr>
        <w:t>(g)PTP</w:t>
      </w:r>
      <w:r>
        <w:rPr>
          <w:b/>
          <w:bCs/>
          <w:lang w:val="en-US"/>
        </w:rPr>
        <w:t xml:space="preserve"> messages</w:t>
      </w:r>
      <w:r w:rsidRPr="00E912ED">
        <w:rPr>
          <w:b/>
          <w:bCs/>
          <w:lang w:val="en-US"/>
        </w:rPr>
        <w:t>) and 5G</w:t>
      </w:r>
      <w:r>
        <w:rPr>
          <w:b/>
          <w:bCs/>
          <w:lang w:val="en-US"/>
        </w:rPr>
        <w:t xml:space="preserve"> internal </w:t>
      </w:r>
      <w:r w:rsidRPr="00E912ED">
        <w:rPr>
          <w:b/>
          <w:bCs/>
          <w:lang w:val="en-US"/>
        </w:rPr>
        <w:t>clock</w:t>
      </w:r>
      <w:r>
        <w:rPr>
          <w:b/>
          <w:bCs/>
          <w:lang w:val="en-US"/>
        </w:rPr>
        <w:t xml:space="preserve"> (using SIB9/RRC) processes</w:t>
      </w:r>
      <w:r w:rsidRPr="00F95081">
        <w:rPr>
          <w:b/>
          <w:bCs/>
          <w:lang w:val="en-US"/>
        </w:rPr>
        <w:t>.</w:t>
      </w:r>
    </w:p>
    <w:p w14:paraId="0CC24791" w14:textId="13A932BA" w:rsidR="008A1B79" w:rsidRPr="00140378" w:rsidRDefault="00331CD0" w:rsidP="00A04620">
      <w:pPr>
        <w:jc w:val="both"/>
        <w:rPr>
          <w:lang w:val="en-US"/>
        </w:rPr>
      </w:pPr>
      <w:r w:rsidRPr="00331CD0">
        <w:rPr>
          <w:lang w:val="en-US"/>
        </w:rPr>
        <w:t>Based on the scenarios and evaluations for synchronization error budget gathered by RAN2 in [</w:t>
      </w:r>
      <w:r>
        <w:rPr>
          <w:lang w:val="en-US"/>
        </w:rPr>
        <w:t>3</w:t>
      </w:r>
      <w:r w:rsidRPr="00331CD0">
        <w:rPr>
          <w:lang w:val="en-US"/>
        </w:rPr>
        <w:t xml:space="preserve">], the </w:t>
      </w:r>
      <w:proofErr w:type="spellStart"/>
      <w:r w:rsidRPr="00331CD0">
        <w:rPr>
          <w:lang w:val="en-US"/>
        </w:rPr>
        <w:t>Uu</w:t>
      </w:r>
      <w:proofErr w:type="spellEnd"/>
      <w:r w:rsidRPr="00331CD0">
        <w:rPr>
          <w:lang w:val="en-US"/>
        </w:rPr>
        <w:t xml:space="preserve"> interface time synchronization accuracy for Scenario 1, 2 and 3 are as following:</w:t>
      </w:r>
    </w:p>
    <w:p w14:paraId="14403D33" w14:textId="77777777" w:rsidR="008A1B79" w:rsidRPr="00331CD0" w:rsidRDefault="008A1B79" w:rsidP="008A1B79">
      <w:pPr>
        <w:pStyle w:val="ListParagraph"/>
        <w:numPr>
          <w:ilvl w:val="0"/>
          <w:numId w:val="32"/>
        </w:numPr>
        <w:spacing w:after="180" w:line="240" w:lineRule="auto"/>
        <w:contextualSpacing/>
        <w:rPr>
          <w:rFonts w:ascii="Times New Roman" w:hAnsi="Times New Roman" w:cs="Times New Roman"/>
          <w:sz w:val="20"/>
          <w:szCs w:val="20"/>
          <w:lang w:val="en-US"/>
        </w:rPr>
      </w:pPr>
      <w:r w:rsidRPr="00331CD0">
        <w:rPr>
          <w:rFonts w:ascii="Times New Roman" w:hAnsi="Times New Roman" w:cs="Times New Roman"/>
          <w:sz w:val="20"/>
          <w:szCs w:val="20"/>
          <w:lang w:val="en-US"/>
        </w:rPr>
        <w:t>Scenario 1: ±595ns to ±725ns</w:t>
      </w:r>
    </w:p>
    <w:p w14:paraId="7F7897DA" w14:textId="77777777" w:rsidR="008A1B79" w:rsidRPr="00331CD0" w:rsidRDefault="008A1B79" w:rsidP="008A1B79">
      <w:pPr>
        <w:pStyle w:val="ListParagraph"/>
        <w:numPr>
          <w:ilvl w:val="0"/>
          <w:numId w:val="32"/>
        </w:numPr>
        <w:spacing w:after="180" w:line="240" w:lineRule="auto"/>
        <w:contextualSpacing/>
        <w:rPr>
          <w:rFonts w:ascii="Times New Roman" w:hAnsi="Times New Roman" w:cs="Times New Roman"/>
          <w:sz w:val="20"/>
          <w:szCs w:val="20"/>
          <w:lang w:val="en-US"/>
        </w:rPr>
      </w:pPr>
      <w:r w:rsidRPr="00331CD0">
        <w:rPr>
          <w:rFonts w:ascii="Times New Roman" w:hAnsi="Times New Roman" w:cs="Times New Roman"/>
          <w:sz w:val="20"/>
          <w:szCs w:val="20"/>
          <w:lang w:val="en-US"/>
        </w:rPr>
        <w:lastRenderedPageBreak/>
        <w:t>Scenario 2: ±145ns to ±275ns</w:t>
      </w:r>
    </w:p>
    <w:p w14:paraId="50668D97" w14:textId="77777777" w:rsidR="008A1B79" w:rsidRPr="00331CD0" w:rsidRDefault="008A1B79" w:rsidP="008A1B79">
      <w:pPr>
        <w:pStyle w:val="ListParagraph"/>
        <w:numPr>
          <w:ilvl w:val="0"/>
          <w:numId w:val="32"/>
        </w:numPr>
        <w:spacing w:after="180" w:line="240" w:lineRule="auto"/>
        <w:contextualSpacing/>
        <w:rPr>
          <w:rFonts w:ascii="Times New Roman" w:hAnsi="Times New Roman" w:cs="Times New Roman"/>
          <w:sz w:val="20"/>
          <w:szCs w:val="20"/>
          <w:lang w:val="en-US"/>
        </w:rPr>
      </w:pPr>
      <w:r w:rsidRPr="00331CD0">
        <w:rPr>
          <w:rFonts w:ascii="Times New Roman" w:hAnsi="Times New Roman" w:cs="Times New Roman"/>
          <w:sz w:val="20"/>
          <w:szCs w:val="20"/>
          <w:lang w:val="en-US"/>
        </w:rPr>
        <w:t>Scenario 3: ±795ns to ±845ns</w:t>
      </w:r>
    </w:p>
    <w:p w14:paraId="0952BC64" w14:textId="77777777" w:rsidR="008A1B79" w:rsidRDefault="008A1B79" w:rsidP="008A1B79">
      <w:pPr>
        <w:jc w:val="center"/>
        <w:rPr>
          <w:lang w:val="en-US"/>
        </w:rPr>
      </w:pPr>
      <w:r>
        <w:rPr>
          <w:noProof/>
        </w:rPr>
        <w:drawing>
          <wp:inline distT="0" distB="0" distL="0" distR="0" wp14:anchorId="1378259A" wp14:editId="034737D3">
            <wp:extent cx="5198012" cy="1706524"/>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5198012" cy="1706524"/>
                    </a:xfrm>
                    <a:prstGeom prst="rect">
                      <a:avLst/>
                    </a:prstGeom>
                  </pic:spPr>
                </pic:pic>
              </a:graphicData>
            </a:graphic>
          </wp:inline>
        </w:drawing>
      </w:r>
    </w:p>
    <w:p w14:paraId="02F101AA" w14:textId="77777777" w:rsidR="00331CD0" w:rsidRDefault="00331CD0" w:rsidP="00A04620">
      <w:pPr>
        <w:jc w:val="both"/>
        <w:rPr>
          <w:lang w:val="en-US"/>
        </w:rPr>
      </w:pPr>
      <w:r>
        <w:rPr>
          <w:lang w:val="en-US"/>
        </w:rPr>
        <w:t xml:space="preserve">The considered scenarios may involve one </w:t>
      </w:r>
      <w:r w:rsidRPr="00A0280F">
        <w:rPr>
          <w:lang w:val="en-US"/>
        </w:rPr>
        <w:t xml:space="preserve">(e.g. scenario 1 and 3) </w:t>
      </w:r>
      <w:r>
        <w:rPr>
          <w:lang w:val="en-US"/>
        </w:rPr>
        <w:t xml:space="preserve">or two (e.g. scenario 2) </w:t>
      </w:r>
      <w:proofErr w:type="spellStart"/>
      <w:r>
        <w:rPr>
          <w:lang w:val="en-US"/>
        </w:rPr>
        <w:t>Uu</w:t>
      </w:r>
      <w:proofErr w:type="spellEnd"/>
      <w:r>
        <w:rPr>
          <w:lang w:val="en-US"/>
        </w:rPr>
        <w:t xml:space="preserve"> interface(s). However, the serving </w:t>
      </w:r>
      <w:proofErr w:type="spellStart"/>
      <w:r>
        <w:rPr>
          <w:lang w:val="en-US"/>
        </w:rPr>
        <w:t>gNB</w:t>
      </w:r>
      <w:proofErr w:type="spellEnd"/>
      <w:r>
        <w:rPr>
          <w:lang w:val="en-US"/>
        </w:rPr>
        <w:t xml:space="preserve">(s) cannot determine which scenario applies. The </w:t>
      </w:r>
      <w:proofErr w:type="spellStart"/>
      <w:r>
        <w:rPr>
          <w:lang w:val="en-US"/>
        </w:rPr>
        <w:t>gNB</w:t>
      </w:r>
      <w:proofErr w:type="spellEnd"/>
      <w:r>
        <w:rPr>
          <w:lang w:val="en-US"/>
        </w:rPr>
        <w:t xml:space="preserve"> is responsible for providing 5G clock time information to the UE via SIB9 and/or RRC but it is unaware of the time synchronization network</w:t>
      </w:r>
      <w:r w:rsidRPr="00C96F78">
        <w:rPr>
          <w:lang w:val="en-US"/>
        </w:rPr>
        <w:t xml:space="preserve"> </w:t>
      </w:r>
      <w:r>
        <w:rPr>
          <w:lang w:val="en-US"/>
        </w:rPr>
        <w:t xml:space="preserve">topology that may be configured on top of the 5G clock synchronization process. Without the knowledge of the scenario, the </w:t>
      </w:r>
      <w:proofErr w:type="spellStart"/>
      <w:r>
        <w:rPr>
          <w:lang w:val="en-US"/>
        </w:rPr>
        <w:t>Uu</w:t>
      </w:r>
      <w:proofErr w:type="spellEnd"/>
      <w:r>
        <w:rPr>
          <w:lang w:val="en-US"/>
        </w:rPr>
        <w:t xml:space="preserve"> interface synchronicity budget per UE cannot be derived to assist time information distribution configuration or time synchronization enhancements such as PDC decision. </w:t>
      </w:r>
    </w:p>
    <w:p w14:paraId="3A2408F3" w14:textId="77777777" w:rsidR="008A1B79" w:rsidRPr="00E912ED" w:rsidRDefault="008A1B79" w:rsidP="008A1B79">
      <w:pPr>
        <w:rPr>
          <w:b/>
          <w:bCs/>
          <w:lang w:val="en-US"/>
        </w:rPr>
      </w:pPr>
      <w:r w:rsidRPr="00F95081">
        <w:rPr>
          <w:b/>
          <w:bCs/>
          <w:lang w:val="en-US"/>
        </w:rPr>
        <w:t xml:space="preserve">Observation </w:t>
      </w:r>
      <w:r>
        <w:rPr>
          <w:b/>
          <w:bCs/>
          <w:lang w:val="en-US"/>
        </w:rPr>
        <w:t>2</w:t>
      </w:r>
      <w:r w:rsidRPr="00F95081">
        <w:rPr>
          <w:b/>
          <w:bCs/>
          <w:lang w:val="en-US"/>
        </w:rPr>
        <w:t xml:space="preserve">: </w:t>
      </w:r>
      <w:proofErr w:type="spellStart"/>
      <w:r w:rsidRPr="00F95081">
        <w:rPr>
          <w:b/>
          <w:bCs/>
          <w:lang w:val="en-US"/>
        </w:rPr>
        <w:t>gNB</w:t>
      </w:r>
      <w:proofErr w:type="spellEnd"/>
      <w:r w:rsidRPr="00F95081">
        <w:rPr>
          <w:b/>
          <w:bCs/>
          <w:lang w:val="en-US"/>
        </w:rPr>
        <w:t xml:space="preserve"> cannot derive </w:t>
      </w:r>
      <w:proofErr w:type="spellStart"/>
      <w:r w:rsidRPr="00F95081">
        <w:rPr>
          <w:b/>
          <w:bCs/>
          <w:lang w:val="en-US"/>
        </w:rPr>
        <w:t>Uu</w:t>
      </w:r>
      <w:proofErr w:type="spellEnd"/>
      <w:r w:rsidRPr="00F95081">
        <w:rPr>
          <w:b/>
          <w:bCs/>
          <w:lang w:val="en-US"/>
        </w:rPr>
        <w:t xml:space="preserve"> </w:t>
      </w:r>
      <w:r>
        <w:rPr>
          <w:b/>
          <w:bCs/>
          <w:lang w:val="en-US"/>
        </w:rPr>
        <w:t>synchronicity budget</w:t>
      </w:r>
      <w:r w:rsidRPr="00F95081">
        <w:rPr>
          <w:b/>
          <w:bCs/>
          <w:lang w:val="en-US"/>
        </w:rPr>
        <w:t xml:space="preserve"> per UE without CN assistance.</w:t>
      </w:r>
    </w:p>
    <w:p w14:paraId="3315E3D1" w14:textId="4C5EEBB9" w:rsidR="00331CD0" w:rsidRDefault="00331CD0" w:rsidP="00A04620">
      <w:pPr>
        <w:jc w:val="both"/>
        <w:rPr>
          <w:lang w:val="en-US"/>
        </w:rPr>
      </w:pPr>
      <w:r>
        <w:rPr>
          <w:lang w:val="en-US"/>
        </w:rPr>
        <w:t xml:space="preserve">However, when time synchronization service is configured, the CN can determine the time synchronization accuracy requirement per UE (more details regarding the options described in S2-2102358 [2]) and provide this information to the </w:t>
      </w:r>
      <w:proofErr w:type="spellStart"/>
      <w:r>
        <w:rPr>
          <w:lang w:val="en-US"/>
        </w:rPr>
        <w:t>gNB</w:t>
      </w:r>
      <w:proofErr w:type="spellEnd"/>
      <w:r>
        <w:rPr>
          <w:lang w:val="en-US"/>
        </w:rPr>
        <w:t xml:space="preserve">. Therefore, the CN assistance enables the </w:t>
      </w:r>
      <w:proofErr w:type="spellStart"/>
      <w:r>
        <w:rPr>
          <w:lang w:val="en-US"/>
        </w:rPr>
        <w:t>gNB</w:t>
      </w:r>
      <w:proofErr w:type="spellEnd"/>
      <w:r>
        <w:rPr>
          <w:lang w:val="en-US"/>
        </w:rPr>
        <w:t xml:space="preserve"> to be agnostic to the time synchronization distribution topology (e.g. if the time synchronization distribution is UE-UE or UE-DN) but facilitates the </w:t>
      </w:r>
      <w:r w:rsidR="00272581">
        <w:rPr>
          <w:lang w:val="en-US"/>
        </w:rPr>
        <w:t xml:space="preserve">appropriate </w:t>
      </w:r>
      <w:r>
        <w:rPr>
          <w:lang w:val="en-US"/>
        </w:rPr>
        <w:t xml:space="preserve">time synchronization configuration for </w:t>
      </w:r>
      <w:proofErr w:type="spellStart"/>
      <w:r>
        <w:rPr>
          <w:lang w:val="en-US"/>
        </w:rPr>
        <w:t>Uu</w:t>
      </w:r>
      <w:proofErr w:type="spellEnd"/>
      <w:r>
        <w:rPr>
          <w:lang w:val="en-US"/>
        </w:rPr>
        <w:t xml:space="preserve"> interfaces. </w:t>
      </w:r>
    </w:p>
    <w:p w14:paraId="15808695" w14:textId="77777777" w:rsidR="00272581" w:rsidRDefault="003E7E4B" w:rsidP="00A04620">
      <w:pPr>
        <w:jc w:val="both"/>
      </w:pPr>
      <w:r>
        <w:rPr>
          <w:lang w:val="en-US"/>
        </w:rPr>
        <w:t>E</w:t>
      </w:r>
      <w:r w:rsidR="00482629">
        <w:rPr>
          <w:lang w:val="en-US"/>
        </w:rPr>
        <w:t xml:space="preserve">ven if the </w:t>
      </w:r>
      <w:proofErr w:type="spellStart"/>
      <w:r w:rsidR="00482629">
        <w:rPr>
          <w:lang w:val="en-US"/>
        </w:rPr>
        <w:t>gNB</w:t>
      </w:r>
      <w:proofErr w:type="spellEnd"/>
      <w:r w:rsidR="00482629">
        <w:rPr>
          <w:lang w:val="en-US"/>
        </w:rPr>
        <w:t xml:space="preserve"> knows the </w:t>
      </w:r>
      <w:proofErr w:type="spellStart"/>
      <w:r w:rsidR="00482629">
        <w:rPr>
          <w:lang w:val="en-US"/>
        </w:rPr>
        <w:t>Uu</w:t>
      </w:r>
      <w:proofErr w:type="spellEnd"/>
      <w:r w:rsidR="00482629">
        <w:rPr>
          <w:lang w:val="en-US"/>
        </w:rPr>
        <w:t xml:space="preserve"> synchronicity budget</w:t>
      </w:r>
      <w:r>
        <w:rPr>
          <w:lang w:val="en-US"/>
        </w:rPr>
        <w:t xml:space="preserve"> per UE</w:t>
      </w:r>
      <w:r w:rsidR="00482629">
        <w:rPr>
          <w:lang w:val="en-US"/>
        </w:rPr>
        <w:t xml:space="preserve">, there is no method to determine the </w:t>
      </w:r>
      <w:r w:rsidR="00272581">
        <w:rPr>
          <w:lang w:val="en-US"/>
        </w:rPr>
        <w:t xml:space="preserve">exact </w:t>
      </w:r>
      <w:r w:rsidR="00482629">
        <w:rPr>
          <w:lang w:val="en-US"/>
        </w:rPr>
        <w:t xml:space="preserve">time synchronization accuracy that can be achieved at the </w:t>
      </w:r>
      <w:proofErr w:type="spellStart"/>
      <w:r w:rsidR="00482629">
        <w:rPr>
          <w:lang w:val="en-US"/>
        </w:rPr>
        <w:t>Uu</w:t>
      </w:r>
      <w:proofErr w:type="spellEnd"/>
      <w:r w:rsidR="00482629">
        <w:rPr>
          <w:lang w:val="en-US"/>
        </w:rPr>
        <w:t xml:space="preserve"> interface considering the UE. However, the </w:t>
      </w:r>
      <w:proofErr w:type="spellStart"/>
      <w:r w:rsidR="00482629">
        <w:rPr>
          <w:lang w:val="en-US"/>
        </w:rPr>
        <w:t>gNB</w:t>
      </w:r>
      <w:proofErr w:type="spellEnd"/>
      <w:r w:rsidR="00482629">
        <w:rPr>
          <w:lang w:val="en-US"/>
        </w:rPr>
        <w:t xml:space="preserve"> can </w:t>
      </w:r>
      <w:r>
        <w:rPr>
          <w:lang w:val="en-US"/>
        </w:rPr>
        <w:t xml:space="preserve">use a worst-case assumption. For example, </w:t>
      </w:r>
      <w:r>
        <w:t xml:space="preserve">R1-2102821 </w:t>
      </w:r>
      <w:r w:rsidR="00517422">
        <w:t xml:space="preserve">[4] </w:t>
      </w:r>
      <w:r>
        <w:t>evaluates the time synchronization accuracies of PD estimation options under consideration in RAN1</w:t>
      </w:r>
      <w:r w:rsidR="006C24F0">
        <w:t xml:space="preserve">. </w:t>
      </w:r>
      <w:r w:rsidR="00272581">
        <w:t>Table 1 from R1-2102821 summarizes t</w:t>
      </w:r>
      <w:r w:rsidR="00272581" w:rsidRPr="00482629">
        <w:t xml:space="preserve">he achieved </w:t>
      </w:r>
      <w:proofErr w:type="spellStart"/>
      <w:r w:rsidR="00272581" w:rsidRPr="00482629">
        <w:t>Uu</w:t>
      </w:r>
      <w:proofErr w:type="spellEnd"/>
      <w:r w:rsidR="00272581" w:rsidRPr="00482629">
        <w:t xml:space="preserve"> interface time synchronization accuracy with the considered PD estimation techniques</w:t>
      </w:r>
      <w:r w:rsidR="00272581">
        <w:t xml:space="preserve"> in RAN1</w:t>
      </w:r>
      <w:r w:rsidR="00272581" w:rsidRPr="00482629">
        <w:t>. Accuracies which are within the accuracy budget provided by RAN2 is marked in Green and accuracies which are outside the budget is marked with Red.</w:t>
      </w:r>
    </w:p>
    <w:p w14:paraId="3F72BDA6" w14:textId="77777777" w:rsidR="00272581" w:rsidRDefault="00272581" w:rsidP="00272581">
      <w:pPr>
        <w:pStyle w:val="Caption"/>
        <w:keepNext/>
        <w:jc w:val="center"/>
      </w:pPr>
      <w:bookmarkStart w:id="1" w:name="_Ref59433877"/>
      <w:r>
        <w:t xml:space="preserve">Table </w:t>
      </w:r>
      <w:r w:rsidR="00F55AC5">
        <w:fldChar w:fldCharType="begin"/>
      </w:r>
      <w:r w:rsidR="00F55AC5">
        <w:instrText xml:space="preserve"> SEQ Table \* ARABIC </w:instrText>
      </w:r>
      <w:r w:rsidR="00F55AC5">
        <w:fldChar w:fldCharType="separate"/>
      </w:r>
      <w:r>
        <w:rPr>
          <w:noProof/>
        </w:rPr>
        <w:t>1</w:t>
      </w:r>
      <w:r w:rsidR="00F55AC5">
        <w:rPr>
          <w:noProof/>
        </w:rPr>
        <w:fldChar w:fldCharType="end"/>
      </w:r>
      <w:bookmarkEnd w:id="1"/>
      <w:r>
        <w:t xml:space="preserve">. </w:t>
      </w:r>
      <w:proofErr w:type="spellStart"/>
      <w:r>
        <w:t>Uu</w:t>
      </w:r>
      <w:proofErr w:type="spellEnd"/>
      <w:r>
        <w:t xml:space="preserve"> interface time synchronization accuracy summary from R1-2102821.</w:t>
      </w:r>
    </w:p>
    <w:tbl>
      <w:tblPr>
        <w:tblStyle w:val="TableGrid"/>
        <w:tblW w:w="0" w:type="auto"/>
        <w:jc w:val="center"/>
        <w:tblLayout w:type="fixed"/>
        <w:tblLook w:val="04A0" w:firstRow="1" w:lastRow="0" w:firstColumn="1" w:lastColumn="0" w:noHBand="0" w:noVBand="1"/>
      </w:tblPr>
      <w:tblGrid>
        <w:gridCol w:w="2122"/>
        <w:gridCol w:w="1858"/>
        <w:gridCol w:w="1859"/>
        <w:gridCol w:w="1859"/>
        <w:gridCol w:w="1859"/>
      </w:tblGrid>
      <w:tr w:rsidR="00272581" w14:paraId="213D7481" w14:textId="77777777" w:rsidTr="00E07C74">
        <w:trPr>
          <w:trHeight w:val="20"/>
          <w:jc w:val="center"/>
        </w:trPr>
        <w:tc>
          <w:tcPr>
            <w:tcW w:w="2122" w:type="dxa"/>
            <w:vMerge w:val="restart"/>
            <w:tcBorders>
              <w:top w:val="single" w:sz="4" w:space="0" w:color="auto"/>
              <w:left w:val="single" w:sz="4" w:space="0" w:color="auto"/>
              <w:bottom w:val="single" w:sz="4" w:space="0" w:color="auto"/>
              <w:right w:val="single" w:sz="4" w:space="0" w:color="auto"/>
            </w:tcBorders>
          </w:tcPr>
          <w:p w14:paraId="2FE257C2" w14:textId="77777777" w:rsidR="00272581" w:rsidRDefault="00272581" w:rsidP="00E07C74">
            <w:pPr>
              <w:rPr>
                <w:color w:val="171717" w:themeColor="background2" w:themeShade="1A"/>
              </w:rPr>
            </w:pPr>
          </w:p>
        </w:tc>
        <w:tc>
          <w:tcPr>
            <w:tcW w:w="3717" w:type="dxa"/>
            <w:gridSpan w:val="2"/>
            <w:tcBorders>
              <w:top w:val="single" w:sz="4" w:space="0" w:color="auto"/>
              <w:left w:val="single" w:sz="4" w:space="0" w:color="auto"/>
              <w:bottom w:val="single" w:sz="4" w:space="0" w:color="auto"/>
              <w:right w:val="single" w:sz="4" w:space="0" w:color="auto"/>
            </w:tcBorders>
            <w:hideMark/>
          </w:tcPr>
          <w:p w14:paraId="194D67C6" w14:textId="77777777" w:rsidR="00272581" w:rsidRDefault="00272581" w:rsidP="00E07C74">
            <w:pPr>
              <w:jc w:val="center"/>
              <w:rPr>
                <w:color w:val="171717" w:themeColor="background2" w:themeShade="1A"/>
              </w:rPr>
            </w:pPr>
            <w:r>
              <w:rPr>
                <w:color w:val="171717" w:themeColor="background2" w:themeShade="1A"/>
              </w:rPr>
              <w:t>Control-to-control</w:t>
            </w:r>
          </w:p>
        </w:tc>
        <w:tc>
          <w:tcPr>
            <w:tcW w:w="3718" w:type="dxa"/>
            <w:gridSpan w:val="2"/>
            <w:tcBorders>
              <w:top w:val="single" w:sz="4" w:space="0" w:color="auto"/>
              <w:left w:val="single" w:sz="4" w:space="0" w:color="auto"/>
              <w:bottom w:val="single" w:sz="4" w:space="0" w:color="auto"/>
              <w:right w:val="single" w:sz="4" w:space="0" w:color="auto"/>
            </w:tcBorders>
            <w:hideMark/>
          </w:tcPr>
          <w:p w14:paraId="4992D68B" w14:textId="77777777" w:rsidR="00272581" w:rsidRDefault="00272581" w:rsidP="00E07C74">
            <w:pPr>
              <w:jc w:val="center"/>
              <w:rPr>
                <w:color w:val="171717" w:themeColor="background2" w:themeShade="1A"/>
              </w:rPr>
            </w:pPr>
            <w:r>
              <w:rPr>
                <w:color w:val="171717" w:themeColor="background2" w:themeShade="1A"/>
              </w:rPr>
              <w:t>Smart grid</w:t>
            </w:r>
          </w:p>
        </w:tc>
      </w:tr>
      <w:tr w:rsidR="00272581" w14:paraId="0B5C4D7C" w14:textId="77777777" w:rsidTr="00E07C74">
        <w:trPr>
          <w:trHeight w:val="2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DAB42D1" w14:textId="77777777" w:rsidR="00272581" w:rsidRDefault="00272581" w:rsidP="00E07C74">
            <w:pPr>
              <w:spacing w:after="0"/>
              <w:rPr>
                <w:rFonts w:asciiTheme="minorHAnsi" w:eastAsiaTheme="minorHAnsi" w:hAnsiTheme="minorHAnsi" w:cstheme="minorBidi"/>
                <w:color w:val="171717" w:themeColor="background2" w:themeShade="1A"/>
                <w:sz w:val="22"/>
                <w:szCs w:val="22"/>
              </w:rPr>
            </w:pPr>
          </w:p>
        </w:tc>
        <w:tc>
          <w:tcPr>
            <w:tcW w:w="1858" w:type="dxa"/>
            <w:tcBorders>
              <w:top w:val="single" w:sz="4" w:space="0" w:color="auto"/>
              <w:left w:val="single" w:sz="4" w:space="0" w:color="auto"/>
              <w:bottom w:val="single" w:sz="4" w:space="0" w:color="auto"/>
              <w:right w:val="single" w:sz="4" w:space="0" w:color="auto"/>
            </w:tcBorders>
            <w:hideMark/>
          </w:tcPr>
          <w:p w14:paraId="3E2F307B" w14:textId="77777777" w:rsidR="00272581" w:rsidRDefault="00272581" w:rsidP="00E07C74">
            <w:pPr>
              <w:jc w:val="center"/>
              <w:rPr>
                <w:color w:val="171717" w:themeColor="background2" w:themeShade="1A"/>
              </w:rPr>
            </w:pPr>
            <w:r>
              <w:rPr>
                <w:color w:val="171717" w:themeColor="background2" w:themeShade="1A"/>
              </w:rPr>
              <w:t>15kHz</w:t>
            </w:r>
          </w:p>
        </w:tc>
        <w:tc>
          <w:tcPr>
            <w:tcW w:w="1859" w:type="dxa"/>
            <w:tcBorders>
              <w:top w:val="single" w:sz="4" w:space="0" w:color="auto"/>
              <w:left w:val="single" w:sz="4" w:space="0" w:color="auto"/>
              <w:bottom w:val="single" w:sz="4" w:space="0" w:color="auto"/>
              <w:right w:val="single" w:sz="4" w:space="0" w:color="auto"/>
            </w:tcBorders>
            <w:hideMark/>
          </w:tcPr>
          <w:p w14:paraId="3363AF62" w14:textId="77777777" w:rsidR="00272581" w:rsidRDefault="00272581" w:rsidP="00E07C74">
            <w:pPr>
              <w:jc w:val="center"/>
              <w:rPr>
                <w:color w:val="171717" w:themeColor="background2" w:themeShade="1A"/>
              </w:rPr>
            </w:pPr>
            <w:r>
              <w:rPr>
                <w:color w:val="171717" w:themeColor="background2" w:themeShade="1A"/>
              </w:rPr>
              <w:t>30kHz</w:t>
            </w:r>
          </w:p>
        </w:tc>
        <w:tc>
          <w:tcPr>
            <w:tcW w:w="1859" w:type="dxa"/>
            <w:tcBorders>
              <w:top w:val="single" w:sz="4" w:space="0" w:color="auto"/>
              <w:left w:val="single" w:sz="4" w:space="0" w:color="auto"/>
              <w:bottom w:val="single" w:sz="4" w:space="0" w:color="auto"/>
              <w:right w:val="single" w:sz="4" w:space="0" w:color="auto"/>
            </w:tcBorders>
            <w:hideMark/>
          </w:tcPr>
          <w:p w14:paraId="124C0E22" w14:textId="77777777" w:rsidR="00272581" w:rsidRDefault="00272581" w:rsidP="00E07C74">
            <w:pPr>
              <w:jc w:val="center"/>
              <w:rPr>
                <w:color w:val="171717" w:themeColor="background2" w:themeShade="1A"/>
              </w:rPr>
            </w:pPr>
            <w:r>
              <w:rPr>
                <w:color w:val="171717" w:themeColor="background2" w:themeShade="1A"/>
              </w:rPr>
              <w:t>15kHz</w:t>
            </w:r>
          </w:p>
        </w:tc>
        <w:tc>
          <w:tcPr>
            <w:tcW w:w="1859" w:type="dxa"/>
            <w:tcBorders>
              <w:top w:val="single" w:sz="4" w:space="0" w:color="auto"/>
              <w:left w:val="single" w:sz="4" w:space="0" w:color="auto"/>
              <w:bottom w:val="single" w:sz="4" w:space="0" w:color="auto"/>
              <w:right w:val="single" w:sz="4" w:space="0" w:color="auto"/>
            </w:tcBorders>
            <w:hideMark/>
          </w:tcPr>
          <w:p w14:paraId="0AC6E56D" w14:textId="77777777" w:rsidR="00272581" w:rsidRDefault="00272581" w:rsidP="00E07C74">
            <w:pPr>
              <w:jc w:val="center"/>
              <w:rPr>
                <w:color w:val="171717" w:themeColor="background2" w:themeShade="1A"/>
              </w:rPr>
            </w:pPr>
            <w:r>
              <w:rPr>
                <w:color w:val="171717" w:themeColor="background2" w:themeShade="1A"/>
              </w:rPr>
              <w:t>30kHz</w:t>
            </w:r>
          </w:p>
        </w:tc>
      </w:tr>
      <w:tr w:rsidR="00272581" w14:paraId="0CE18C1C" w14:textId="77777777" w:rsidTr="00E07C74">
        <w:trPr>
          <w:trHeight w:val="20"/>
          <w:jc w:val="center"/>
        </w:trPr>
        <w:tc>
          <w:tcPr>
            <w:tcW w:w="2122" w:type="dxa"/>
            <w:tcBorders>
              <w:top w:val="single" w:sz="4" w:space="0" w:color="auto"/>
              <w:left w:val="single" w:sz="4" w:space="0" w:color="auto"/>
              <w:bottom w:val="single" w:sz="4" w:space="0" w:color="auto"/>
              <w:right w:val="single" w:sz="4" w:space="0" w:color="auto"/>
            </w:tcBorders>
            <w:hideMark/>
          </w:tcPr>
          <w:p w14:paraId="6F153B14" w14:textId="77777777" w:rsidR="00272581" w:rsidRDefault="00272581" w:rsidP="00E07C74">
            <w:pPr>
              <w:rPr>
                <w:color w:val="171717" w:themeColor="background2" w:themeShade="1A"/>
              </w:rPr>
            </w:pPr>
            <w:r>
              <w:rPr>
                <w:color w:val="171717" w:themeColor="background2" w:themeShade="1A"/>
                <w:kern w:val="24"/>
              </w:rPr>
              <w:t>Legacy timing advance (Release-15)</w:t>
            </w:r>
          </w:p>
        </w:tc>
        <w:tc>
          <w:tcPr>
            <w:tcW w:w="1858" w:type="dxa"/>
            <w:tcBorders>
              <w:top w:val="single" w:sz="4" w:space="0" w:color="auto"/>
              <w:left w:val="single" w:sz="4" w:space="0" w:color="auto"/>
              <w:bottom w:val="single" w:sz="4" w:space="0" w:color="auto"/>
              <w:right w:val="single" w:sz="4" w:space="0" w:color="auto"/>
            </w:tcBorders>
            <w:vAlign w:val="center"/>
            <w:hideMark/>
          </w:tcPr>
          <w:p w14:paraId="1C884E7A" w14:textId="77777777" w:rsidR="00272581" w:rsidRDefault="00272581" w:rsidP="00E07C74">
            <w:pPr>
              <w:spacing w:after="0"/>
              <w:jc w:val="center"/>
              <w:rPr>
                <w:color w:val="171717" w:themeColor="background2" w:themeShade="1A"/>
                <w:highlight w:val="red"/>
              </w:rPr>
            </w:pPr>
            <w:r>
              <w:rPr>
                <w:color w:val="171717" w:themeColor="background2" w:themeShade="1A"/>
                <w:kern w:val="24"/>
                <w:highlight w:val="red"/>
              </w:rPr>
              <w:t>458ns</w:t>
            </w:r>
          </w:p>
        </w:tc>
        <w:tc>
          <w:tcPr>
            <w:tcW w:w="1859" w:type="dxa"/>
            <w:tcBorders>
              <w:top w:val="single" w:sz="4" w:space="0" w:color="auto"/>
              <w:left w:val="single" w:sz="4" w:space="0" w:color="auto"/>
              <w:bottom w:val="single" w:sz="4" w:space="0" w:color="auto"/>
              <w:right w:val="single" w:sz="4" w:space="0" w:color="auto"/>
            </w:tcBorders>
            <w:vAlign w:val="center"/>
            <w:hideMark/>
          </w:tcPr>
          <w:p w14:paraId="34375A7D" w14:textId="77777777" w:rsidR="00272581" w:rsidRDefault="00272581" w:rsidP="00E07C74">
            <w:pPr>
              <w:spacing w:after="0"/>
              <w:jc w:val="center"/>
              <w:rPr>
                <w:color w:val="171717" w:themeColor="background2" w:themeShade="1A"/>
                <w:highlight w:val="red"/>
              </w:rPr>
            </w:pPr>
            <w:r>
              <w:rPr>
                <w:color w:val="171717" w:themeColor="background2" w:themeShade="1A"/>
                <w:kern w:val="24"/>
                <w:highlight w:val="red"/>
              </w:rPr>
              <w:t>328ns</w:t>
            </w:r>
          </w:p>
        </w:tc>
        <w:tc>
          <w:tcPr>
            <w:tcW w:w="1859" w:type="dxa"/>
            <w:tcBorders>
              <w:top w:val="single" w:sz="4" w:space="0" w:color="auto"/>
              <w:left w:val="single" w:sz="4" w:space="0" w:color="auto"/>
              <w:bottom w:val="single" w:sz="4" w:space="0" w:color="auto"/>
              <w:right w:val="single" w:sz="4" w:space="0" w:color="auto"/>
            </w:tcBorders>
            <w:vAlign w:val="center"/>
            <w:hideMark/>
          </w:tcPr>
          <w:p w14:paraId="4A9741C7" w14:textId="77777777" w:rsidR="00272581" w:rsidRDefault="00272581" w:rsidP="00E07C74">
            <w:pPr>
              <w:spacing w:after="0"/>
              <w:jc w:val="center"/>
              <w:rPr>
                <w:color w:val="171717" w:themeColor="background2" w:themeShade="1A"/>
                <w:highlight w:val="green"/>
              </w:rPr>
            </w:pPr>
            <w:r>
              <w:rPr>
                <w:color w:val="171717" w:themeColor="background2" w:themeShade="1A"/>
                <w:kern w:val="24"/>
                <w:highlight w:val="green"/>
              </w:rPr>
              <w:t>525ns</w:t>
            </w:r>
          </w:p>
        </w:tc>
        <w:tc>
          <w:tcPr>
            <w:tcW w:w="1859" w:type="dxa"/>
            <w:tcBorders>
              <w:top w:val="single" w:sz="4" w:space="0" w:color="auto"/>
              <w:left w:val="single" w:sz="4" w:space="0" w:color="auto"/>
              <w:bottom w:val="single" w:sz="4" w:space="0" w:color="auto"/>
              <w:right w:val="single" w:sz="4" w:space="0" w:color="auto"/>
            </w:tcBorders>
            <w:vAlign w:val="center"/>
            <w:hideMark/>
          </w:tcPr>
          <w:p w14:paraId="27C35D5D" w14:textId="77777777" w:rsidR="00272581" w:rsidRDefault="00272581" w:rsidP="00E07C74">
            <w:pPr>
              <w:spacing w:after="0"/>
              <w:jc w:val="center"/>
              <w:rPr>
                <w:strike/>
                <w:color w:val="171717" w:themeColor="background2" w:themeShade="1A"/>
                <w:highlight w:val="green"/>
              </w:rPr>
            </w:pPr>
            <w:r>
              <w:rPr>
                <w:color w:val="171717" w:themeColor="background2" w:themeShade="1A"/>
                <w:kern w:val="24"/>
                <w:highlight w:val="green"/>
              </w:rPr>
              <w:t>395ns</w:t>
            </w:r>
          </w:p>
        </w:tc>
      </w:tr>
      <w:tr w:rsidR="00272581" w14:paraId="0E0F0C70" w14:textId="77777777" w:rsidTr="00E07C74">
        <w:trPr>
          <w:trHeight w:val="20"/>
          <w:jc w:val="center"/>
        </w:trPr>
        <w:tc>
          <w:tcPr>
            <w:tcW w:w="2122" w:type="dxa"/>
            <w:tcBorders>
              <w:top w:val="single" w:sz="4" w:space="0" w:color="auto"/>
              <w:left w:val="single" w:sz="4" w:space="0" w:color="auto"/>
              <w:bottom w:val="single" w:sz="4" w:space="0" w:color="auto"/>
              <w:right w:val="single" w:sz="4" w:space="0" w:color="auto"/>
            </w:tcBorders>
            <w:hideMark/>
          </w:tcPr>
          <w:p w14:paraId="43C8C10C" w14:textId="77777777" w:rsidR="00272581" w:rsidRDefault="00272581" w:rsidP="00E07C74">
            <w:pPr>
              <w:rPr>
                <w:color w:val="171717" w:themeColor="background2" w:themeShade="1A"/>
              </w:rPr>
            </w:pPr>
            <w:r>
              <w:rPr>
                <w:color w:val="171717" w:themeColor="background2" w:themeShade="1A"/>
                <w:kern w:val="24"/>
              </w:rPr>
              <w:t>Legacy timing advance (Release-16) incl. Timing Delta MAC CE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07A2D004" w14:textId="77777777" w:rsidR="00272581" w:rsidRDefault="00272581" w:rsidP="00E07C74">
            <w:pPr>
              <w:spacing w:after="0"/>
              <w:jc w:val="center"/>
              <w:rPr>
                <w:strike/>
                <w:color w:val="171717" w:themeColor="background2" w:themeShade="1A"/>
                <w:highlight w:val="red"/>
              </w:rPr>
            </w:pPr>
            <w:r>
              <w:rPr>
                <w:color w:val="171717" w:themeColor="background2" w:themeShade="1A"/>
                <w:kern w:val="24"/>
                <w:highlight w:val="red"/>
              </w:rPr>
              <w:t>336ns</w:t>
            </w:r>
          </w:p>
        </w:tc>
        <w:tc>
          <w:tcPr>
            <w:tcW w:w="1859" w:type="dxa"/>
            <w:tcBorders>
              <w:top w:val="single" w:sz="4" w:space="0" w:color="auto"/>
              <w:left w:val="single" w:sz="4" w:space="0" w:color="auto"/>
              <w:bottom w:val="single" w:sz="4" w:space="0" w:color="auto"/>
              <w:right w:val="single" w:sz="4" w:space="0" w:color="auto"/>
            </w:tcBorders>
            <w:vAlign w:val="center"/>
            <w:hideMark/>
          </w:tcPr>
          <w:p w14:paraId="0C12D717" w14:textId="77777777" w:rsidR="00272581" w:rsidRDefault="00272581" w:rsidP="00E07C74">
            <w:pPr>
              <w:spacing w:after="0"/>
              <w:jc w:val="center"/>
              <w:rPr>
                <w:strike/>
                <w:color w:val="171717" w:themeColor="background2" w:themeShade="1A"/>
                <w:highlight w:val="red"/>
              </w:rPr>
            </w:pPr>
            <w:r>
              <w:rPr>
                <w:color w:val="171717" w:themeColor="background2" w:themeShade="1A"/>
                <w:kern w:val="24"/>
                <w:highlight w:val="green"/>
              </w:rPr>
              <w:t>271ns</w:t>
            </w:r>
          </w:p>
        </w:tc>
        <w:tc>
          <w:tcPr>
            <w:tcW w:w="1859" w:type="dxa"/>
            <w:tcBorders>
              <w:top w:val="single" w:sz="4" w:space="0" w:color="auto"/>
              <w:left w:val="single" w:sz="4" w:space="0" w:color="auto"/>
              <w:bottom w:val="single" w:sz="4" w:space="0" w:color="auto"/>
              <w:right w:val="single" w:sz="4" w:space="0" w:color="auto"/>
            </w:tcBorders>
            <w:vAlign w:val="center"/>
            <w:hideMark/>
          </w:tcPr>
          <w:p w14:paraId="49D23238" w14:textId="77777777" w:rsidR="00272581" w:rsidRDefault="00272581" w:rsidP="00E07C74">
            <w:pPr>
              <w:spacing w:after="0"/>
              <w:jc w:val="center"/>
              <w:rPr>
                <w:strike/>
                <w:color w:val="171717" w:themeColor="background2" w:themeShade="1A"/>
                <w:highlight w:val="green"/>
              </w:rPr>
            </w:pPr>
            <w:r>
              <w:rPr>
                <w:color w:val="171717" w:themeColor="background2" w:themeShade="1A"/>
                <w:kern w:val="24"/>
                <w:highlight w:val="green"/>
              </w:rPr>
              <w:t>403ns</w:t>
            </w:r>
          </w:p>
        </w:tc>
        <w:tc>
          <w:tcPr>
            <w:tcW w:w="1859" w:type="dxa"/>
            <w:tcBorders>
              <w:top w:val="single" w:sz="4" w:space="0" w:color="auto"/>
              <w:left w:val="single" w:sz="4" w:space="0" w:color="auto"/>
              <w:bottom w:val="single" w:sz="4" w:space="0" w:color="auto"/>
              <w:right w:val="single" w:sz="4" w:space="0" w:color="auto"/>
            </w:tcBorders>
            <w:vAlign w:val="center"/>
            <w:hideMark/>
          </w:tcPr>
          <w:p w14:paraId="1FDD7646" w14:textId="77777777" w:rsidR="00272581" w:rsidRDefault="00272581" w:rsidP="00E07C74">
            <w:pPr>
              <w:spacing w:after="0"/>
              <w:jc w:val="center"/>
              <w:rPr>
                <w:strike/>
                <w:color w:val="171717" w:themeColor="background2" w:themeShade="1A"/>
                <w:highlight w:val="green"/>
              </w:rPr>
            </w:pPr>
            <w:r>
              <w:rPr>
                <w:color w:val="171717" w:themeColor="background2" w:themeShade="1A"/>
                <w:kern w:val="24"/>
                <w:highlight w:val="green"/>
              </w:rPr>
              <w:t>338ns</w:t>
            </w:r>
          </w:p>
        </w:tc>
      </w:tr>
      <w:tr w:rsidR="00272581" w14:paraId="7689A1B1" w14:textId="77777777" w:rsidTr="00E07C74">
        <w:trPr>
          <w:trHeight w:val="20"/>
          <w:jc w:val="center"/>
        </w:trPr>
        <w:tc>
          <w:tcPr>
            <w:tcW w:w="2122" w:type="dxa"/>
            <w:tcBorders>
              <w:top w:val="single" w:sz="4" w:space="0" w:color="auto"/>
              <w:left w:val="single" w:sz="4" w:space="0" w:color="auto"/>
              <w:bottom w:val="single" w:sz="4" w:space="0" w:color="auto"/>
              <w:right w:val="single" w:sz="4" w:space="0" w:color="auto"/>
            </w:tcBorders>
            <w:hideMark/>
          </w:tcPr>
          <w:p w14:paraId="725CD038" w14:textId="77777777" w:rsidR="00272581" w:rsidRDefault="00272581" w:rsidP="00E07C74">
            <w:pPr>
              <w:rPr>
                <w:color w:val="171717" w:themeColor="background2" w:themeShade="1A"/>
              </w:rPr>
            </w:pPr>
            <w:r>
              <w:rPr>
                <w:color w:val="171717" w:themeColor="background2" w:themeShade="1A"/>
                <w:kern w:val="24"/>
              </w:rPr>
              <w:t>PD compensation (Option 1a)</w:t>
            </w:r>
          </w:p>
        </w:tc>
        <w:tc>
          <w:tcPr>
            <w:tcW w:w="1858" w:type="dxa"/>
            <w:tcBorders>
              <w:top w:val="single" w:sz="4" w:space="0" w:color="auto"/>
              <w:left w:val="single" w:sz="4" w:space="0" w:color="auto"/>
              <w:bottom w:val="single" w:sz="4" w:space="0" w:color="auto"/>
              <w:right w:val="single" w:sz="4" w:space="0" w:color="auto"/>
            </w:tcBorders>
            <w:vAlign w:val="center"/>
            <w:hideMark/>
          </w:tcPr>
          <w:p w14:paraId="6DACE2A3" w14:textId="77777777" w:rsidR="00272581" w:rsidRDefault="00272581" w:rsidP="00E07C74">
            <w:pPr>
              <w:spacing w:after="0"/>
              <w:jc w:val="center"/>
              <w:rPr>
                <w:color w:val="171717" w:themeColor="background2" w:themeShade="1A"/>
                <w:highlight w:val="red"/>
              </w:rPr>
            </w:pPr>
            <w:r>
              <w:rPr>
                <w:color w:val="171717" w:themeColor="background2" w:themeShade="1A"/>
                <w:kern w:val="24"/>
                <w:highlight w:val="red"/>
              </w:rPr>
              <w:t>328ns&lt;X≤336ns</w:t>
            </w:r>
          </w:p>
        </w:tc>
        <w:tc>
          <w:tcPr>
            <w:tcW w:w="1859" w:type="dxa"/>
            <w:tcBorders>
              <w:top w:val="single" w:sz="4" w:space="0" w:color="auto"/>
              <w:left w:val="single" w:sz="4" w:space="0" w:color="auto"/>
              <w:bottom w:val="single" w:sz="4" w:space="0" w:color="auto"/>
              <w:right w:val="single" w:sz="4" w:space="0" w:color="auto"/>
            </w:tcBorders>
            <w:vAlign w:val="center"/>
            <w:hideMark/>
          </w:tcPr>
          <w:p w14:paraId="1C7F6F71" w14:textId="77777777" w:rsidR="00272581" w:rsidRDefault="00272581" w:rsidP="00E07C74">
            <w:pPr>
              <w:spacing w:after="0"/>
              <w:jc w:val="center"/>
              <w:rPr>
                <w:color w:val="171717" w:themeColor="background2" w:themeShade="1A"/>
                <w:highlight w:val="red"/>
              </w:rPr>
            </w:pPr>
            <w:r>
              <w:rPr>
                <w:color w:val="171717" w:themeColor="background2" w:themeShade="1A"/>
                <w:kern w:val="24"/>
                <w:highlight w:val="green"/>
              </w:rPr>
              <w:t>263ns&lt;X≤271ns</w:t>
            </w:r>
          </w:p>
        </w:tc>
        <w:tc>
          <w:tcPr>
            <w:tcW w:w="1859" w:type="dxa"/>
            <w:tcBorders>
              <w:top w:val="single" w:sz="4" w:space="0" w:color="auto"/>
              <w:left w:val="single" w:sz="4" w:space="0" w:color="auto"/>
              <w:bottom w:val="single" w:sz="4" w:space="0" w:color="auto"/>
              <w:right w:val="single" w:sz="4" w:space="0" w:color="auto"/>
            </w:tcBorders>
            <w:vAlign w:val="center"/>
            <w:hideMark/>
          </w:tcPr>
          <w:p w14:paraId="5FE30F00" w14:textId="77777777" w:rsidR="00272581" w:rsidRDefault="00272581" w:rsidP="00E07C74">
            <w:pPr>
              <w:spacing w:after="0"/>
              <w:jc w:val="center"/>
              <w:rPr>
                <w:color w:val="171717" w:themeColor="background2" w:themeShade="1A"/>
                <w:highlight w:val="green"/>
              </w:rPr>
            </w:pPr>
            <w:r>
              <w:rPr>
                <w:color w:val="171717" w:themeColor="background2" w:themeShade="1A"/>
                <w:kern w:val="24"/>
                <w:highlight w:val="green"/>
              </w:rPr>
              <w:t>395ns&lt;X≤403ns</w:t>
            </w:r>
          </w:p>
        </w:tc>
        <w:tc>
          <w:tcPr>
            <w:tcW w:w="1859" w:type="dxa"/>
            <w:tcBorders>
              <w:top w:val="single" w:sz="4" w:space="0" w:color="auto"/>
              <w:left w:val="single" w:sz="4" w:space="0" w:color="auto"/>
              <w:bottom w:val="single" w:sz="4" w:space="0" w:color="auto"/>
              <w:right w:val="single" w:sz="4" w:space="0" w:color="auto"/>
            </w:tcBorders>
            <w:vAlign w:val="center"/>
            <w:hideMark/>
          </w:tcPr>
          <w:p w14:paraId="24C361BF" w14:textId="77777777" w:rsidR="00272581" w:rsidRDefault="00272581" w:rsidP="00E07C74">
            <w:pPr>
              <w:spacing w:after="0"/>
              <w:jc w:val="center"/>
              <w:rPr>
                <w:color w:val="171717" w:themeColor="background2" w:themeShade="1A"/>
                <w:highlight w:val="green"/>
              </w:rPr>
            </w:pPr>
            <w:r>
              <w:rPr>
                <w:color w:val="171717" w:themeColor="background2" w:themeShade="1A"/>
                <w:kern w:val="24"/>
                <w:highlight w:val="green"/>
              </w:rPr>
              <w:t>330ns&lt;X≤338ns</w:t>
            </w:r>
          </w:p>
        </w:tc>
      </w:tr>
      <w:tr w:rsidR="00272581" w14:paraId="4B414997" w14:textId="77777777" w:rsidTr="00E07C74">
        <w:trPr>
          <w:trHeight w:val="20"/>
          <w:jc w:val="center"/>
        </w:trPr>
        <w:tc>
          <w:tcPr>
            <w:tcW w:w="2122" w:type="dxa"/>
            <w:tcBorders>
              <w:top w:val="single" w:sz="4" w:space="0" w:color="auto"/>
              <w:left w:val="single" w:sz="4" w:space="0" w:color="auto"/>
              <w:bottom w:val="single" w:sz="4" w:space="0" w:color="auto"/>
              <w:right w:val="single" w:sz="4" w:space="0" w:color="auto"/>
            </w:tcBorders>
            <w:hideMark/>
          </w:tcPr>
          <w:p w14:paraId="190D042E" w14:textId="77777777" w:rsidR="00272581" w:rsidRDefault="00272581" w:rsidP="00E07C74">
            <w:pPr>
              <w:rPr>
                <w:color w:val="171717" w:themeColor="background2" w:themeShade="1A"/>
              </w:rPr>
            </w:pPr>
            <w:r>
              <w:rPr>
                <w:color w:val="171717" w:themeColor="background2" w:themeShade="1A"/>
                <w:kern w:val="24"/>
              </w:rPr>
              <w:t>PD compensation (Option 1b)</w:t>
            </w:r>
          </w:p>
        </w:tc>
        <w:tc>
          <w:tcPr>
            <w:tcW w:w="1858" w:type="dxa"/>
            <w:tcBorders>
              <w:top w:val="single" w:sz="4" w:space="0" w:color="auto"/>
              <w:left w:val="single" w:sz="4" w:space="0" w:color="auto"/>
              <w:bottom w:val="single" w:sz="4" w:space="0" w:color="auto"/>
              <w:right w:val="single" w:sz="4" w:space="0" w:color="auto"/>
            </w:tcBorders>
            <w:vAlign w:val="center"/>
            <w:hideMark/>
          </w:tcPr>
          <w:p w14:paraId="23661C60" w14:textId="77777777" w:rsidR="00272581" w:rsidRDefault="00272581" w:rsidP="00E07C74">
            <w:pPr>
              <w:spacing w:after="0"/>
              <w:jc w:val="center"/>
              <w:rPr>
                <w:color w:val="171717" w:themeColor="background2" w:themeShade="1A"/>
                <w:highlight w:val="green"/>
              </w:rPr>
            </w:pPr>
            <w:r>
              <w:rPr>
                <w:color w:val="171717" w:themeColor="background2" w:themeShade="1A"/>
                <w:kern w:val="24"/>
                <w:highlight w:val="green"/>
              </w:rPr>
              <w:t>133ns&lt;</w:t>
            </w:r>
            <w:r>
              <w:rPr>
                <w:color w:val="171717" w:themeColor="background2" w:themeShade="1A"/>
                <w:kern w:val="24"/>
              </w:rPr>
              <w:t>X</w:t>
            </w:r>
            <w:r>
              <w:rPr>
                <w:color w:val="171717" w:themeColor="background2" w:themeShade="1A"/>
                <w:kern w:val="24"/>
                <w:highlight w:val="red"/>
              </w:rPr>
              <w:t>&lt;336ns</w:t>
            </w:r>
          </w:p>
        </w:tc>
        <w:tc>
          <w:tcPr>
            <w:tcW w:w="1859" w:type="dxa"/>
            <w:tcBorders>
              <w:top w:val="single" w:sz="4" w:space="0" w:color="auto"/>
              <w:left w:val="single" w:sz="4" w:space="0" w:color="auto"/>
              <w:bottom w:val="single" w:sz="4" w:space="0" w:color="auto"/>
              <w:right w:val="single" w:sz="4" w:space="0" w:color="auto"/>
            </w:tcBorders>
            <w:vAlign w:val="center"/>
            <w:hideMark/>
          </w:tcPr>
          <w:p w14:paraId="1F5B432D" w14:textId="77777777" w:rsidR="00272581" w:rsidRDefault="00272581" w:rsidP="00E07C74">
            <w:pPr>
              <w:spacing w:after="0"/>
              <w:jc w:val="center"/>
              <w:rPr>
                <w:color w:val="171717" w:themeColor="background2" w:themeShade="1A"/>
                <w:highlight w:val="green"/>
              </w:rPr>
            </w:pPr>
            <w:r>
              <w:rPr>
                <w:color w:val="171717" w:themeColor="background2" w:themeShade="1A"/>
                <w:kern w:val="24"/>
                <w:highlight w:val="green"/>
              </w:rPr>
              <w:t>133ns&lt;X&lt;271ns</w:t>
            </w:r>
          </w:p>
        </w:tc>
        <w:tc>
          <w:tcPr>
            <w:tcW w:w="1859" w:type="dxa"/>
            <w:tcBorders>
              <w:top w:val="single" w:sz="4" w:space="0" w:color="auto"/>
              <w:left w:val="single" w:sz="4" w:space="0" w:color="auto"/>
              <w:bottom w:val="single" w:sz="4" w:space="0" w:color="auto"/>
              <w:right w:val="single" w:sz="4" w:space="0" w:color="auto"/>
            </w:tcBorders>
            <w:vAlign w:val="center"/>
            <w:hideMark/>
          </w:tcPr>
          <w:p w14:paraId="0B2CE6F3" w14:textId="77777777" w:rsidR="00272581" w:rsidRDefault="00272581" w:rsidP="00E07C74">
            <w:pPr>
              <w:spacing w:after="0"/>
              <w:jc w:val="center"/>
              <w:rPr>
                <w:color w:val="171717" w:themeColor="background2" w:themeShade="1A"/>
                <w:highlight w:val="green"/>
              </w:rPr>
            </w:pPr>
            <w:r>
              <w:rPr>
                <w:color w:val="171717" w:themeColor="background2" w:themeShade="1A"/>
                <w:kern w:val="24"/>
                <w:highlight w:val="green"/>
              </w:rPr>
              <w:t>200ns&lt;X&lt;403ns</w:t>
            </w:r>
          </w:p>
        </w:tc>
        <w:tc>
          <w:tcPr>
            <w:tcW w:w="1859" w:type="dxa"/>
            <w:tcBorders>
              <w:top w:val="single" w:sz="4" w:space="0" w:color="auto"/>
              <w:left w:val="single" w:sz="4" w:space="0" w:color="auto"/>
              <w:bottom w:val="single" w:sz="4" w:space="0" w:color="auto"/>
              <w:right w:val="single" w:sz="4" w:space="0" w:color="auto"/>
            </w:tcBorders>
            <w:vAlign w:val="center"/>
            <w:hideMark/>
          </w:tcPr>
          <w:p w14:paraId="54A4A456" w14:textId="77777777" w:rsidR="00272581" w:rsidRDefault="00272581" w:rsidP="00E07C74">
            <w:pPr>
              <w:spacing w:after="0"/>
              <w:jc w:val="center"/>
              <w:rPr>
                <w:color w:val="171717" w:themeColor="background2" w:themeShade="1A"/>
                <w:highlight w:val="green"/>
              </w:rPr>
            </w:pPr>
            <w:r>
              <w:rPr>
                <w:color w:val="171717" w:themeColor="background2" w:themeShade="1A"/>
                <w:kern w:val="24"/>
                <w:highlight w:val="green"/>
              </w:rPr>
              <w:t>200ns&lt;X&lt;338ns</w:t>
            </w:r>
          </w:p>
        </w:tc>
      </w:tr>
      <w:tr w:rsidR="00272581" w14:paraId="5EE2F3D9" w14:textId="77777777" w:rsidTr="00E07C74">
        <w:trPr>
          <w:trHeight w:val="20"/>
          <w:jc w:val="center"/>
        </w:trPr>
        <w:tc>
          <w:tcPr>
            <w:tcW w:w="2122" w:type="dxa"/>
            <w:tcBorders>
              <w:top w:val="single" w:sz="4" w:space="0" w:color="auto"/>
              <w:left w:val="single" w:sz="4" w:space="0" w:color="auto"/>
              <w:bottom w:val="single" w:sz="4" w:space="0" w:color="auto"/>
              <w:right w:val="single" w:sz="4" w:space="0" w:color="auto"/>
            </w:tcBorders>
            <w:hideMark/>
          </w:tcPr>
          <w:p w14:paraId="22B0F13C" w14:textId="77777777" w:rsidR="00272581" w:rsidRDefault="00272581" w:rsidP="00E07C74">
            <w:pPr>
              <w:rPr>
                <w:color w:val="171717" w:themeColor="background2" w:themeShade="1A"/>
                <w:kern w:val="24"/>
              </w:rPr>
            </w:pPr>
            <w:r>
              <w:rPr>
                <w:color w:val="171717" w:themeColor="background2" w:themeShade="1A"/>
                <w:kern w:val="24"/>
              </w:rPr>
              <w:t>PD compensation (Option 1c)</w:t>
            </w:r>
          </w:p>
        </w:tc>
        <w:tc>
          <w:tcPr>
            <w:tcW w:w="1858" w:type="dxa"/>
            <w:tcBorders>
              <w:top w:val="single" w:sz="4" w:space="0" w:color="auto"/>
              <w:left w:val="single" w:sz="4" w:space="0" w:color="auto"/>
              <w:bottom w:val="single" w:sz="4" w:space="0" w:color="auto"/>
              <w:right w:val="single" w:sz="4" w:space="0" w:color="auto"/>
            </w:tcBorders>
            <w:vAlign w:val="center"/>
            <w:hideMark/>
          </w:tcPr>
          <w:p w14:paraId="79235A4B" w14:textId="77777777" w:rsidR="00272581" w:rsidRDefault="00272581" w:rsidP="00E07C74">
            <w:pPr>
              <w:spacing w:after="0"/>
              <w:jc w:val="center"/>
              <w:rPr>
                <w:color w:val="171717" w:themeColor="background2" w:themeShade="1A"/>
                <w:kern w:val="24"/>
                <w:highlight w:val="green"/>
              </w:rPr>
            </w:pPr>
            <w:r>
              <w:rPr>
                <w:color w:val="171717" w:themeColor="background2" w:themeShade="1A"/>
                <w:kern w:val="24"/>
                <w:highlight w:val="red"/>
              </w:rPr>
              <w:t>328ns&lt;X≤336ns</w:t>
            </w:r>
          </w:p>
        </w:tc>
        <w:tc>
          <w:tcPr>
            <w:tcW w:w="1859" w:type="dxa"/>
            <w:tcBorders>
              <w:top w:val="single" w:sz="4" w:space="0" w:color="auto"/>
              <w:left w:val="single" w:sz="4" w:space="0" w:color="auto"/>
              <w:bottom w:val="single" w:sz="4" w:space="0" w:color="auto"/>
              <w:right w:val="single" w:sz="4" w:space="0" w:color="auto"/>
            </w:tcBorders>
            <w:vAlign w:val="center"/>
            <w:hideMark/>
          </w:tcPr>
          <w:p w14:paraId="5C4BE4BB" w14:textId="77777777" w:rsidR="00272581" w:rsidRDefault="00272581" w:rsidP="00E07C74">
            <w:pPr>
              <w:spacing w:after="0"/>
              <w:jc w:val="center"/>
              <w:rPr>
                <w:color w:val="171717" w:themeColor="background2" w:themeShade="1A"/>
                <w:kern w:val="24"/>
                <w:highlight w:val="green"/>
              </w:rPr>
            </w:pPr>
            <w:r>
              <w:rPr>
                <w:color w:val="171717" w:themeColor="background2" w:themeShade="1A"/>
                <w:kern w:val="24"/>
                <w:highlight w:val="green"/>
              </w:rPr>
              <w:t>263ns&lt;X≤271ns</w:t>
            </w:r>
          </w:p>
        </w:tc>
        <w:tc>
          <w:tcPr>
            <w:tcW w:w="1859" w:type="dxa"/>
            <w:tcBorders>
              <w:top w:val="single" w:sz="4" w:space="0" w:color="auto"/>
              <w:left w:val="single" w:sz="4" w:space="0" w:color="auto"/>
              <w:bottom w:val="single" w:sz="4" w:space="0" w:color="auto"/>
              <w:right w:val="single" w:sz="4" w:space="0" w:color="auto"/>
            </w:tcBorders>
            <w:vAlign w:val="center"/>
            <w:hideMark/>
          </w:tcPr>
          <w:p w14:paraId="6692D2F1" w14:textId="77777777" w:rsidR="00272581" w:rsidRDefault="00272581" w:rsidP="00E07C74">
            <w:pPr>
              <w:spacing w:after="0"/>
              <w:jc w:val="center"/>
              <w:rPr>
                <w:color w:val="171717" w:themeColor="background2" w:themeShade="1A"/>
                <w:kern w:val="24"/>
                <w:highlight w:val="green"/>
              </w:rPr>
            </w:pPr>
            <w:r>
              <w:rPr>
                <w:color w:val="171717" w:themeColor="background2" w:themeShade="1A"/>
                <w:kern w:val="24"/>
                <w:highlight w:val="green"/>
              </w:rPr>
              <w:t>395ns&lt;X≤403ns</w:t>
            </w:r>
          </w:p>
        </w:tc>
        <w:tc>
          <w:tcPr>
            <w:tcW w:w="1859" w:type="dxa"/>
            <w:tcBorders>
              <w:top w:val="single" w:sz="4" w:space="0" w:color="auto"/>
              <w:left w:val="single" w:sz="4" w:space="0" w:color="auto"/>
              <w:bottom w:val="single" w:sz="4" w:space="0" w:color="auto"/>
              <w:right w:val="single" w:sz="4" w:space="0" w:color="auto"/>
            </w:tcBorders>
            <w:vAlign w:val="center"/>
            <w:hideMark/>
          </w:tcPr>
          <w:p w14:paraId="29B34ECE" w14:textId="77777777" w:rsidR="00272581" w:rsidRDefault="00272581" w:rsidP="00E07C74">
            <w:pPr>
              <w:spacing w:after="0"/>
              <w:jc w:val="center"/>
              <w:rPr>
                <w:color w:val="171717" w:themeColor="background2" w:themeShade="1A"/>
                <w:kern w:val="24"/>
                <w:highlight w:val="green"/>
              </w:rPr>
            </w:pPr>
            <w:r>
              <w:rPr>
                <w:color w:val="171717" w:themeColor="background2" w:themeShade="1A"/>
                <w:kern w:val="24"/>
                <w:highlight w:val="green"/>
              </w:rPr>
              <w:t>330ns&lt;X≤338ns</w:t>
            </w:r>
          </w:p>
        </w:tc>
      </w:tr>
      <w:tr w:rsidR="00272581" w14:paraId="48C84FD8" w14:textId="77777777" w:rsidTr="00E07C74">
        <w:trPr>
          <w:trHeight w:val="20"/>
          <w:jc w:val="center"/>
        </w:trPr>
        <w:tc>
          <w:tcPr>
            <w:tcW w:w="2122" w:type="dxa"/>
            <w:tcBorders>
              <w:top w:val="single" w:sz="4" w:space="0" w:color="auto"/>
              <w:left w:val="single" w:sz="4" w:space="0" w:color="auto"/>
              <w:bottom w:val="single" w:sz="4" w:space="0" w:color="auto"/>
              <w:right w:val="single" w:sz="4" w:space="0" w:color="auto"/>
            </w:tcBorders>
            <w:hideMark/>
          </w:tcPr>
          <w:p w14:paraId="43B1C2D1" w14:textId="77777777" w:rsidR="00272581" w:rsidRDefault="00272581" w:rsidP="00E07C74">
            <w:pPr>
              <w:rPr>
                <w:color w:val="171717" w:themeColor="background2" w:themeShade="1A"/>
                <w:kern w:val="24"/>
              </w:rPr>
            </w:pPr>
            <w:r>
              <w:rPr>
                <w:color w:val="171717" w:themeColor="background2" w:themeShade="1A"/>
                <w:kern w:val="24"/>
              </w:rPr>
              <w:t>PD compensation (Option 2)</w:t>
            </w:r>
          </w:p>
        </w:tc>
        <w:tc>
          <w:tcPr>
            <w:tcW w:w="1858" w:type="dxa"/>
            <w:tcBorders>
              <w:top w:val="single" w:sz="4" w:space="0" w:color="auto"/>
              <w:left w:val="single" w:sz="4" w:space="0" w:color="auto"/>
              <w:bottom w:val="single" w:sz="4" w:space="0" w:color="auto"/>
              <w:right w:val="single" w:sz="4" w:space="0" w:color="auto"/>
            </w:tcBorders>
            <w:vAlign w:val="center"/>
            <w:hideMark/>
          </w:tcPr>
          <w:p w14:paraId="158BB6DA" w14:textId="77777777" w:rsidR="00272581" w:rsidRDefault="00272581" w:rsidP="00E07C74">
            <w:pPr>
              <w:spacing w:after="0"/>
              <w:jc w:val="center"/>
              <w:rPr>
                <w:color w:val="171717" w:themeColor="background2" w:themeShade="1A"/>
                <w:kern w:val="24"/>
                <w:highlight w:val="green"/>
              </w:rPr>
            </w:pPr>
            <w:r>
              <w:rPr>
                <w:color w:val="171717" w:themeColor="background2" w:themeShade="1A"/>
                <w:kern w:val="24"/>
                <w:highlight w:val="green"/>
              </w:rPr>
              <w:t>137ns</w:t>
            </w:r>
          </w:p>
        </w:tc>
        <w:tc>
          <w:tcPr>
            <w:tcW w:w="1859" w:type="dxa"/>
            <w:tcBorders>
              <w:top w:val="single" w:sz="4" w:space="0" w:color="auto"/>
              <w:left w:val="single" w:sz="4" w:space="0" w:color="auto"/>
              <w:bottom w:val="single" w:sz="4" w:space="0" w:color="auto"/>
              <w:right w:val="single" w:sz="4" w:space="0" w:color="auto"/>
            </w:tcBorders>
            <w:vAlign w:val="center"/>
            <w:hideMark/>
          </w:tcPr>
          <w:p w14:paraId="2BF28464" w14:textId="77777777" w:rsidR="00272581" w:rsidRDefault="00272581" w:rsidP="00E07C74">
            <w:pPr>
              <w:spacing w:after="0"/>
              <w:jc w:val="center"/>
              <w:rPr>
                <w:color w:val="171717" w:themeColor="background2" w:themeShade="1A"/>
                <w:kern w:val="24"/>
                <w:highlight w:val="green"/>
              </w:rPr>
            </w:pPr>
            <w:r>
              <w:rPr>
                <w:color w:val="171717" w:themeColor="background2" w:themeShade="1A"/>
                <w:kern w:val="24"/>
                <w:highlight w:val="green"/>
              </w:rPr>
              <w:t>137ns</w:t>
            </w:r>
          </w:p>
        </w:tc>
        <w:tc>
          <w:tcPr>
            <w:tcW w:w="1859" w:type="dxa"/>
            <w:tcBorders>
              <w:top w:val="single" w:sz="4" w:space="0" w:color="auto"/>
              <w:left w:val="single" w:sz="4" w:space="0" w:color="auto"/>
              <w:bottom w:val="single" w:sz="4" w:space="0" w:color="auto"/>
              <w:right w:val="single" w:sz="4" w:space="0" w:color="auto"/>
            </w:tcBorders>
            <w:vAlign w:val="center"/>
            <w:hideMark/>
          </w:tcPr>
          <w:p w14:paraId="11CDB6D7" w14:textId="77777777" w:rsidR="00272581" w:rsidRDefault="00272581" w:rsidP="00E07C74">
            <w:pPr>
              <w:spacing w:after="0"/>
              <w:jc w:val="center"/>
              <w:rPr>
                <w:color w:val="171717" w:themeColor="background2" w:themeShade="1A"/>
                <w:kern w:val="24"/>
                <w:highlight w:val="green"/>
              </w:rPr>
            </w:pPr>
            <w:r>
              <w:rPr>
                <w:color w:val="171717" w:themeColor="background2" w:themeShade="1A"/>
                <w:kern w:val="24"/>
                <w:highlight w:val="green"/>
              </w:rPr>
              <w:t>204ns</w:t>
            </w:r>
          </w:p>
        </w:tc>
        <w:tc>
          <w:tcPr>
            <w:tcW w:w="1859" w:type="dxa"/>
            <w:tcBorders>
              <w:top w:val="single" w:sz="4" w:space="0" w:color="auto"/>
              <w:left w:val="single" w:sz="4" w:space="0" w:color="auto"/>
              <w:bottom w:val="single" w:sz="4" w:space="0" w:color="auto"/>
              <w:right w:val="single" w:sz="4" w:space="0" w:color="auto"/>
            </w:tcBorders>
            <w:vAlign w:val="center"/>
            <w:hideMark/>
          </w:tcPr>
          <w:p w14:paraId="1BEC06A9" w14:textId="77777777" w:rsidR="00272581" w:rsidRDefault="00272581" w:rsidP="00E07C74">
            <w:pPr>
              <w:spacing w:after="0"/>
              <w:jc w:val="center"/>
              <w:rPr>
                <w:color w:val="171717" w:themeColor="background2" w:themeShade="1A"/>
                <w:kern w:val="24"/>
                <w:highlight w:val="green"/>
              </w:rPr>
            </w:pPr>
            <w:r>
              <w:rPr>
                <w:color w:val="171717" w:themeColor="background2" w:themeShade="1A"/>
                <w:kern w:val="24"/>
                <w:highlight w:val="green"/>
              </w:rPr>
              <w:t>204ns</w:t>
            </w:r>
          </w:p>
        </w:tc>
      </w:tr>
    </w:tbl>
    <w:p w14:paraId="49C05D0A" w14:textId="625657F5" w:rsidR="006C24F0" w:rsidRDefault="00272581" w:rsidP="00043CFD">
      <w:pPr>
        <w:jc w:val="both"/>
      </w:pPr>
      <w:r>
        <w:lastRenderedPageBreak/>
        <w:t xml:space="preserve">As an additional example, in the </w:t>
      </w:r>
      <w:r w:rsidR="006C24F0">
        <w:t xml:space="preserve"> control-to-control scenario, two UEs are involved and assuming that neither is using PD compensation, the accuracy per </w:t>
      </w:r>
      <w:proofErr w:type="spellStart"/>
      <w:r w:rsidR="006C24F0">
        <w:t>Uu</w:t>
      </w:r>
      <w:proofErr w:type="spellEnd"/>
      <w:r w:rsidR="006C24F0">
        <w:t xml:space="preserve"> interface is given by the maximum difference of propagation delay from each UE to their respective </w:t>
      </w:r>
      <w:proofErr w:type="spellStart"/>
      <w:r w:rsidR="006C24F0">
        <w:t>gNB</w:t>
      </w:r>
      <w:proofErr w:type="spellEnd"/>
      <w:r w:rsidR="006C24F0">
        <w:t xml:space="preserve"> (due to the propagation delay will only shift the SFN reception time forward in time for each UE). </w:t>
      </w:r>
      <w:r w:rsidR="006C24F0">
        <w:fldChar w:fldCharType="begin"/>
      </w:r>
      <w:r w:rsidR="006C24F0">
        <w:instrText xml:space="preserve"> REF _Ref59357254 \h  \* MERGEFORMAT </w:instrText>
      </w:r>
      <w:r w:rsidR="006C24F0">
        <w:fldChar w:fldCharType="separate"/>
      </w:r>
      <w:r w:rsidR="006C24F0">
        <w:t xml:space="preserve">Figure </w:t>
      </w:r>
      <w:r w:rsidR="006C24F0">
        <w:rPr>
          <w:noProof/>
        </w:rPr>
        <w:t>1</w:t>
      </w:r>
      <w:r w:rsidR="006C24F0">
        <w:fldChar w:fldCharType="end"/>
      </w:r>
      <w:r w:rsidR="006C24F0">
        <w:t xml:space="preserve"> from R1-2102821 shows the </w:t>
      </w:r>
      <w:proofErr w:type="spellStart"/>
      <w:r w:rsidR="006C24F0">
        <w:t>Uu</w:t>
      </w:r>
      <w:proofErr w:type="spellEnd"/>
      <w:r w:rsidR="006C24F0">
        <w:t xml:space="preserve"> interface accuracy budget (provided by RAN2), the accuracy of Option 2 considered in RAN1 (</w:t>
      </w:r>
      <w:r w:rsidR="006C24F0" w:rsidRPr="006C24F0">
        <w:t>Rx-Tx measurement</w:t>
      </w:r>
      <w:r w:rsidR="006C24F0">
        <w:t xml:space="preserve">) used for PD compensation as well as the accuracy of no PD compensation applied at the UEs. </w:t>
      </w:r>
      <w:r>
        <w:t>For cases where synchronization among these two UEs is they only target, i</w:t>
      </w:r>
      <w:r w:rsidR="006C24F0">
        <w:t xml:space="preserve">t is observed that PD compensation is only needed when the maximum PD between the two involved UEs is more than 240ns, corresponding to a radio path propagation delay difference of 72m (relative to the serving </w:t>
      </w:r>
      <w:proofErr w:type="spellStart"/>
      <w:r w:rsidR="006C24F0">
        <w:t>gNB</w:t>
      </w:r>
      <w:proofErr w:type="spellEnd"/>
      <w:r w:rsidR="006C24F0">
        <w:t xml:space="preserve">). This type of supplementary information is what the </w:t>
      </w:r>
      <w:proofErr w:type="spellStart"/>
      <w:r w:rsidR="006C24F0">
        <w:t>gNB</w:t>
      </w:r>
      <w:proofErr w:type="spellEnd"/>
      <w:r w:rsidR="006C24F0">
        <w:t xml:space="preserve"> may partially obtain from the CN (as discussed in </w:t>
      </w:r>
      <w:r w:rsidR="00517422">
        <w:t>[5]</w:t>
      </w:r>
      <w:r w:rsidR="006C24F0">
        <w:t xml:space="preserve">) and derive based on the estimated PD to determine the worst-case achievable accuracy for </w:t>
      </w:r>
      <w:proofErr w:type="spellStart"/>
      <w:r w:rsidR="006C24F0">
        <w:t>Uu</w:t>
      </w:r>
      <w:proofErr w:type="spellEnd"/>
      <w:r w:rsidR="006C24F0">
        <w:t xml:space="preserve"> interface and decide whether to apply PDC or not.</w:t>
      </w:r>
    </w:p>
    <w:p w14:paraId="61A49D76" w14:textId="53A999C9" w:rsidR="006C24F0" w:rsidRDefault="006C24F0" w:rsidP="00B90B54"/>
    <w:p w14:paraId="692EA0CC" w14:textId="77777777" w:rsidR="006C24F0" w:rsidRDefault="006C24F0" w:rsidP="00517422">
      <w:pPr>
        <w:keepNext/>
        <w:jc w:val="center"/>
      </w:pPr>
      <w:r>
        <w:rPr>
          <w:noProof/>
        </w:rPr>
        <w:drawing>
          <wp:inline distT="0" distB="0" distL="0" distR="0" wp14:anchorId="30E1BEC9" wp14:editId="5F6104C7">
            <wp:extent cx="5805805" cy="2985770"/>
            <wp:effectExtent l="0" t="0" r="4445" b="5080"/>
            <wp:docPr id="1" name="Chart 1">
              <a:extLst xmlns:a="http://schemas.openxmlformats.org/drawingml/2006/main">
                <a:ext uri="{FF2B5EF4-FFF2-40B4-BE49-F238E27FC236}">
                  <a16:creationId xmlns:a16="http://schemas.microsoft.com/office/drawing/2014/main" id="{CE2DDAEF-6F35-4181-986B-DC1309B63E6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5D3792E" w14:textId="310BA9CB" w:rsidR="006C24F0" w:rsidRDefault="006C24F0" w:rsidP="00517422">
      <w:pPr>
        <w:pStyle w:val="Caption"/>
        <w:jc w:val="center"/>
      </w:pPr>
      <w:r>
        <w:t xml:space="preserve">Figure </w:t>
      </w:r>
      <w:r w:rsidR="00F55AC5">
        <w:fldChar w:fldCharType="begin"/>
      </w:r>
      <w:r w:rsidR="00F55AC5">
        <w:instrText xml:space="preserve"> SEQ Figure \* ARABIC </w:instrText>
      </w:r>
      <w:r w:rsidR="00F55AC5">
        <w:fldChar w:fldCharType="separate"/>
      </w:r>
      <w:r>
        <w:rPr>
          <w:noProof/>
        </w:rPr>
        <w:t>1</w:t>
      </w:r>
      <w:r w:rsidR="00F55AC5">
        <w:rPr>
          <w:noProof/>
        </w:rPr>
        <w:fldChar w:fldCharType="end"/>
      </w:r>
      <w:r>
        <w:t xml:space="preserve"> </w:t>
      </w:r>
      <w:proofErr w:type="spellStart"/>
      <w:r w:rsidRPr="00DF5D83">
        <w:t>Uu</w:t>
      </w:r>
      <w:proofErr w:type="spellEnd"/>
      <w:r w:rsidRPr="00DF5D83">
        <w:t xml:space="preserve"> interface accuracy for control-to-control (two </w:t>
      </w:r>
      <w:proofErr w:type="spellStart"/>
      <w:r w:rsidRPr="00DF5D83">
        <w:t>Uu</w:t>
      </w:r>
      <w:proofErr w:type="spellEnd"/>
      <w:r w:rsidRPr="00DF5D83">
        <w:t xml:space="preserve"> interfaces).</w:t>
      </w:r>
    </w:p>
    <w:p w14:paraId="2E27C09A" w14:textId="3C71C0D0" w:rsidR="00607E20" w:rsidRDefault="00607E20" w:rsidP="00B90B54"/>
    <w:p w14:paraId="716A3EE0" w14:textId="3B5E5C17" w:rsidR="003E7E4B" w:rsidRDefault="003E7E4B" w:rsidP="00A04620">
      <w:pPr>
        <w:jc w:val="both"/>
        <w:rPr>
          <w:b/>
          <w:bCs/>
        </w:rPr>
      </w:pPr>
      <w:r w:rsidRPr="003E7E4B">
        <w:rPr>
          <w:b/>
          <w:bCs/>
        </w:rPr>
        <w:t xml:space="preserve">Observation </w:t>
      </w:r>
      <w:r w:rsidR="008A1B79">
        <w:rPr>
          <w:b/>
          <w:bCs/>
        </w:rPr>
        <w:t>3</w:t>
      </w:r>
      <w:r w:rsidRPr="003E7E4B">
        <w:rPr>
          <w:b/>
          <w:bCs/>
        </w:rPr>
        <w:t xml:space="preserve">: CN </w:t>
      </w:r>
      <w:r>
        <w:rPr>
          <w:b/>
          <w:bCs/>
        </w:rPr>
        <w:t xml:space="preserve">provided </w:t>
      </w:r>
      <w:proofErr w:type="spellStart"/>
      <w:r w:rsidRPr="003E7E4B">
        <w:rPr>
          <w:b/>
          <w:bCs/>
        </w:rPr>
        <w:t>Uu</w:t>
      </w:r>
      <w:proofErr w:type="spellEnd"/>
      <w:r w:rsidRPr="003E7E4B">
        <w:rPr>
          <w:b/>
          <w:bCs/>
        </w:rPr>
        <w:t xml:space="preserve"> synchronicity budget</w:t>
      </w:r>
      <w:r w:rsidR="008A1B79">
        <w:rPr>
          <w:b/>
          <w:bCs/>
        </w:rPr>
        <w:t xml:space="preserve"> </w:t>
      </w:r>
      <w:r w:rsidRPr="003E7E4B">
        <w:rPr>
          <w:b/>
          <w:bCs/>
        </w:rPr>
        <w:t xml:space="preserve">and worst-case assumption for the achievable time synchronization can be used as inputs at the </w:t>
      </w:r>
      <w:proofErr w:type="spellStart"/>
      <w:r w:rsidRPr="003E7E4B">
        <w:rPr>
          <w:b/>
          <w:bCs/>
        </w:rPr>
        <w:t>gNB</w:t>
      </w:r>
      <w:proofErr w:type="spellEnd"/>
      <w:r w:rsidRPr="003E7E4B">
        <w:rPr>
          <w:b/>
          <w:bCs/>
        </w:rPr>
        <w:t xml:space="preserve"> to determine PDC</w:t>
      </w:r>
      <w:r>
        <w:rPr>
          <w:b/>
          <w:bCs/>
        </w:rPr>
        <w:t xml:space="preserve"> configuration</w:t>
      </w:r>
      <w:r w:rsidRPr="003E7E4B">
        <w:rPr>
          <w:b/>
          <w:bCs/>
        </w:rPr>
        <w:t xml:space="preserve">. </w:t>
      </w:r>
    </w:p>
    <w:p w14:paraId="2DFFB32D" w14:textId="25794ADD" w:rsidR="008F6A90" w:rsidRDefault="008F6A90" w:rsidP="00A04620">
      <w:pPr>
        <w:jc w:val="both"/>
        <w:rPr>
          <w:b/>
          <w:bCs/>
        </w:rPr>
      </w:pPr>
      <w:r w:rsidRPr="00347227">
        <w:rPr>
          <w:b/>
          <w:bCs/>
        </w:rPr>
        <w:t xml:space="preserve">Proposal 1: RAN2 confirms it is beneficial </w:t>
      </w:r>
      <w:r w:rsidR="00272581">
        <w:rPr>
          <w:b/>
          <w:bCs/>
        </w:rPr>
        <w:t xml:space="preserve">for the RAN if CN provides </w:t>
      </w:r>
      <w:proofErr w:type="spellStart"/>
      <w:r w:rsidRPr="00347227">
        <w:rPr>
          <w:b/>
          <w:bCs/>
        </w:rPr>
        <w:t>Uu</w:t>
      </w:r>
      <w:proofErr w:type="spellEnd"/>
      <w:r w:rsidRPr="00347227">
        <w:rPr>
          <w:b/>
          <w:bCs/>
        </w:rPr>
        <w:t xml:space="preserve"> synchronicity budget and worst-case assumption </w:t>
      </w:r>
      <w:r w:rsidR="00331CD0">
        <w:rPr>
          <w:b/>
          <w:bCs/>
        </w:rPr>
        <w:t xml:space="preserve">CN </w:t>
      </w:r>
      <w:r w:rsidRPr="00347227">
        <w:rPr>
          <w:b/>
          <w:bCs/>
        </w:rPr>
        <w:t>for the achievable time synchronization. Indicate this in the reply LS to SA2.</w:t>
      </w:r>
    </w:p>
    <w:p w14:paraId="4BF75143" w14:textId="7BB617BB" w:rsidR="00CE796B" w:rsidRPr="00A04620" w:rsidRDefault="00A04620" w:rsidP="00A04620">
      <w:pPr>
        <w:jc w:val="both"/>
      </w:pPr>
      <w:r>
        <w:t>To respond SA2, w</w:t>
      </w:r>
      <w:r w:rsidRPr="00A04620">
        <w:t>e have prepared a draft reply LS in [6].</w:t>
      </w:r>
    </w:p>
    <w:p w14:paraId="265B4150" w14:textId="4A09CAE0" w:rsidR="00B1289C" w:rsidRPr="00D212C3" w:rsidRDefault="00B1289C" w:rsidP="00491840">
      <w:pPr>
        <w:pStyle w:val="Heading2"/>
      </w:pPr>
      <w:r>
        <w:t>2</w:t>
      </w:r>
      <w:r w:rsidRPr="006E13D1">
        <w:t>.</w:t>
      </w:r>
      <w:r w:rsidR="00A04620">
        <w:t>2</w:t>
      </w:r>
      <w:r w:rsidRPr="006E13D1">
        <w:tab/>
      </w:r>
      <w:r>
        <w:t xml:space="preserve">Activation/Deactivation </w:t>
      </w:r>
      <w:proofErr w:type="spellStart"/>
      <w:r>
        <w:t>Signaling</w:t>
      </w:r>
      <w:proofErr w:type="spellEnd"/>
      <w:r>
        <w:t xml:space="preserve"> for PDC</w:t>
      </w:r>
    </w:p>
    <w:p w14:paraId="1FA6AA3E" w14:textId="6CDFA2EC" w:rsidR="00F20A8B" w:rsidRDefault="00D069E9" w:rsidP="00414977">
      <w:pPr>
        <w:jc w:val="both"/>
      </w:pPr>
      <w:r>
        <w:t>PDC</w:t>
      </w:r>
      <w:r w:rsidR="00DA223C">
        <w:t xml:space="preserve"> may be </w:t>
      </w:r>
      <w:r w:rsidR="00783107">
        <w:t xml:space="preserve">conducted </w:t>
      </w:r>
      <w:r w:rsidR="00DA223C">
        <w:t xml:space="preserve">by </w:t>
      </w:r>
      <w:r w:rsidR="00783107">
        <w:t xml:space="preserve">the </w:t>
      </w:r>
      <w:proofErr w:type="spellStart"/>
      <w:r w:rsidR="00783107">
        <w:t>gNB</w:t>
      </w:r>
      <w:proofErr w:type="spellEnd"/>
      <w:r w:rsidR="00783107">
        <w:t xml:space="preserve"> or the UE</w:t>
      </w:r>
      <w:r>
        <w:t xml:space="preserve">. </w:t>
      </w:r>
      <w:r w:rsidR="00100821">
        <w:t>T</w:t>
      </w:r>
      <w:r w:rsidR="00807017">
        <w:t xml:space="preserve">he propagation delay between a </w:t>
      </w:r>
      <w:proofErr w:type="spellStart"/>
      <w:r w:rsidR="00100821">
        <w:t>gNB</w:t>
      </w:r>
      <w:proofErr w:type="spellEnd"/>
      <w:r w:rsidR="00807017">
        <w:t xml:space="preserve"> and a UE is UE specific, it </w:t>
      </w:r>
      <w:r w:rsidR="008D3CDE">
        <w:t xml:space="preserve">is </w:t>
      </w:r>
      <w:r w:rsidR="00843F38">
        <w:t>sensible</w:t>
      </w:r>
      <w:r w:rsidR="00383F16">
        <w:t xml:space="preserve"> to specify that </w:t>
      </w:r>
      <w:r w:rsidR="008D3CDE">
        <w:t xml:space="preserve">the UE </w:t>
      </w:r>
      <w:r w:rsidR="00100821">
        <w:t>should be capable of conducting</w:t>
      </w:r>
      <w:r w:rsidR="008D3CDE">
        <w:t xml:space="preserve"> </w:t>
      </w:r>
      <w:proofErr w:type="gramStart"/>
      <w:r w:rsidR="008D3CDE">
        <w:t>PDC</w:t>
      </w:r>
      <w:r w:rsidR="002B24D2">
        <w:t>, and</w:t>
      </w:r>
      <w:proofErr w:type="gramEnd"/>
      <w:r w:rsidR="002B24D2">
        <w:t xml:space="preserve"> will allow the </w:t>
      </w:r>
      <w:proofErr w:type="spellStart"/>
      <w:r w:rsidR="002B24D2">
        <w:t>gNB</w:t>
      </w:r>
      <w:proofErr w:type="spellEnd"/>
      <w:r w:rsidR="002B24D2">
        <w:t xml:space="preserve"> to use </w:t>
      </w:r>
      <w:r w:rsidR="00DF5691">
        <w:t>SIB9 (broadcast)</w:t>
      </w:r>
      <w:r w:rsidR="002B24D2">
        <w:t xml:space="preserve"> for delivery of </w:t>
      </w:r>
      <w:proofErr w:type="spellStart"/>
      <w:r w:rsidR="002B24D2">
        <w:t>referenceTimeInfo</w:t>
      </w:r>
      <w:proofErr w:type="spellEnd"/>
      <w:r w:rsidR="00DF5691">
        <w:t>.</w:t>
      </w:r>
      <w:r w:rsidR="00C22F3A">
        <w:t xml:space="preserve"> </w:t>
      </w:r>
      <w:r w:rsidR="00756BF9">
        <w:t xml:space="preserve">From RAN2 point of view, supporting UE-based PDC would be fairly simple as it would only need a </w:t>
      </w:r>
      <w:r w:rsidR="00A6418E">
        <w:t>signal</w:t>
      </w:r>
      <w:r w:rsidR="00EB43CB">
        <w:t xml:space="preserve"> to be specified which can instruct</w:t>
      </w:r>
      <w:r w:rsidR="00A6418E">
        <w:t xml:space="preserve"> to the UE whether to conduct PDC</w:t>
      </w:r>
      <w:r w:rsidR="00EB43CB">
        <w:t xml:space="preserve">, and then define a new </w:t>
      </w:r>
      <w:r w:rsidR="00A6418E">
        <w:t>UE capability</w:t>
      </w:r>
      <w:r w:rsidR="00EB43CB">
        <w:t xml:space="preserve"> tied to </w:t>
      </w:r>
      <w:r w:rsidR="00A6418E">
        <w:t>UE-based PDC</w:t>
      </w:r>
      <w:r w:rsidR="00EB43CB">
        <w:t>.</w:t>
      </w:r>
      <w:r w:rsidR="006E07F2">
        <w:t xml:space="preserve"> </w:t>
      </w:r>
      <w:r w:rsidR="00692B77">
        <w:t xml:space="preserve">Independent on RAN1 decision, RAN2 should continue discussions on the </w:t>
      </w:r>
      <w:proofErr w:type="spellStart"/>
      <w:r w:rsidR="00692B77">
        <w:t>signaling</w:t>
      </w:r>
      <w:proofErr w:type="spellEnd"/>
      <w:r w:rsidR="00692B77">
        <w:t xml:space="preserve"> framework (assumed independent of the PD estimation technique</w:t>
      </w:r>
      <w:r w:rsidR="00A84090">
        <w:t>, and then w</w:t>
      </w:r>
      <w:r w:rsidR="006E07F2">
        <w:t>hen</w:t>
      </w:r>
      <w:r w:rsidR="00A6418E">
        <w:t xml:space="preserve"> RAN1</w:t>
      </w:r>
      <w:r w:rsidR="00EE4525">
        <w:t xml:space="preserve"> as decided on a </w:t>
      </w:r>
      <w:r w:rsidR="00A6418E">
        <w:t>PD estimation technique</w:t>
      </w:r>
      <w:r w:rsidR="00EE4525">
        <w:t xml:space="preserve">, RAN2 may </w:t>
      </w:r>
      <w:r w:rsidR="006960D6">
        <w:t>check if additional signals is needed specific to the chosen technique</w:t>
      </w:r>
      <w:r w:rsidR="009C3992">
        <w:t xml:space="preserve">, for example </w:t>
      </w:r>
      <w:r w:rsidR="005D644A">
        <w:t>t</w:t>
      </w:r>
      <w:r w:rsidR="00C22F3A">
        <w:t>he UE</w:t>
      </w:r>
      <w:r w:rsidR="00E84987">
        <w:t xml:space="preserve"> may</w:t>
      </w:r>
      <w:r w:rsidR="00B7328B">
        <w:t xml:space="preserve"> </w:t>
      </w:r>
      <w:r w:rsidR="008D3CDE">
        <w:t>acquire</w:t>
      </w:r>
      <w:r w:rsidR="00B7328B">
        <w:t xml:space="preserve"> </w:t>
      </w:r>
      <w:r w:rsidR="009C3992">
        <w:t>a</w:t>
      </w:r>
      <w:r w:rsidR="00B7328B">
        <w:t xml:space="preserve"> PD </w:t>
      </w:r>
      <w:r w:rsidR="009C3992">
        <w:t xml:space="preserve">estimate </w:t>
      </w:r>
      <w:r w:rsidR="00B7328B">
        <w:t>either as a</w:t>
      </w:r>
      <w:r w:rsidR="00E84987">
        <w:t xml:space="preserve"> direct</w:t>
      </w:r>
      <w:r w:rsidR="00B7328B">
        <w:t xml:space="preserve"> result of the PD estimation technique, or </w:t>
      </w:r>
      <w:r w:rsidR="008D3CDE">
        <w:t>via</w:t>
      </w:r>
      <w:r w:rsidR="00B7328B">
        <w:t xml:space="preserve"> a dedicated signal to the UE from the </w:t>
      </w:r>
      <w:proofErr w:type="spellStart"/>
      <w:r w:rsidR="00B7328B">
        <w:t>gNB</w:t>
      </w:r>
      <w:proofErr w:type="spellEnd"/>
      <w:r w:rsidR="00304C5E">
        <w:t>).</w:t>
      </w:r>
    </w:p>
    <w:p w14:paraId="64CB6BA7" w14:textId="5A7A1E03" w:rsidR="00415364" w:rsidRPr="00491840" w:rsidRDefault="006346F9" w:rsidP="00414977">
      <w:pPr>
        <w:jc w:val="both"/>
        <w:rPr>
          <w:b/>
          <w:bCs/>
        </w:rPr>
      </w:pPr>
      <w:r w:rsidRPr="00491840">
        <w:rPr>
          <w:b/>
          <w:bCs/>
        </w:rPr>
        <w:t xml:space="preserve">Proposal </w:t>
      </w:r>
      <w:r w:rsidR="00544D42">
        <w:rPr>
          <w:b/>
          <w:bCs/>
        </w:rPr>
        <w:t>2</w:t>
      </w:r>
      <w:r w:rsidRPr="00491840">
        <w:rPr>
          <w:b/>
          <w:bCs/>
        </w:rPr>
        <w:t xml:space="preserve">: </w:t>
      </w:r>
      <w:r w:rsidR="00C1421D" w:rsidRPr="00491840">
        <w:rPr>
          <w:b/>
          <w:bCs/>
        </w:rPr>
        <w:t>RAN2 should continue discussions on how to signal the UE to conduct PDC</w:t>
      </w:r>
      <w:r w:rsidR="00415364" w:rsidRPr="00491840">
        <w:rPr>
          <w:b/>
          <w:bCs/>
        </w:rPr>
        <w:t>.</w:t>
      </w:r>
    </w:p>
    <w:p w14:paraId="72468438" w14:textId="19DE30AF" w:rsidR="00F20A8B" w:rsidRDefault="00415364" w:rsidP="00414977">
      <w:pPr>
        <w:jc w:val="both"/>
      </w:pPr>
      <w:r w:rsidRPr="00491840">
        <w:rPr>
          <w:b/>
          <w:bCs/>
        </w:rPr>
        <w:lastRenderedPageBreak/>
        <w:t xml:space="preserve">Proposal </w:t>
      </w:r>
      <w:r w:rsidR="00544D42">
        <w:rPr>
          <w:b/>
          <w:bCs/>
        </w:rPr>
        <w:t>3</w:t>
      </w:r>
      <w:r w:rsidRPr="00491840">
        <w:rPr>
          <w:b/>
          <w:bCs/>
        </w:rPr>
        <w:t>: D</w:t>
      </w:r>
      <w:r w:rsidR="006346F9" w:rsidRPr="00491840">
        <w:rPr>
          <w:b/>
          <w:bCs/>
        </w:rPr>
        <w:t xml:space="preserve">efine a new UE capability </w:t>
      </w:r>
      <w:r w:rsidR="00DB410C">
        <w:rPr>
          <w:b/>
          <w:bCs/>
        </w:rPr>
        <w:t>for</w:t>
      </w:r>
      <w:r w:rsidR="006346F9" w:rsidRPr="00491840">
        <w:rPr>
          <w:b/>
          <w:bCs/>
        </w:rPr>
        <w:t xml:space="preserve"> UE-based PDC.</w:t>
      </w:r>
    </w:p>
    <w:p w14:paraId="19CC3C89" w14:textId="3F763734" w:rsidR="00414977" w:rsidRDefault="002F7EC7" w:rsidP="00414977">
      <w:pPr>
        <w:jc w:val="both"/>
      </w:pPr>
      <w:r>
        <w:t>I</w:t>
      </w:r>
      <w:r w:rsidR="007237DD">
        <w:t xml:space="preserve">t is crucial to ensure that </w:t>
      </w:r>
      <w:r w:rsidR="00B1759B">
        <w:t>propagation delay will not be (</w:t>
      </w:r>
      <w:r w:rsidR="002818F5">
        <w:t>over</w:t>
      </w:r>
      <w:r w:rsidR="00B1759B">
        <w:t xml:space="preserve">) compensated by both the network and the UE. </w:t>
      </w:r>
      <w:r w:rsidR="007237DD">
        <w:t>Hence,</w:t>
      </w:r>
      <w:r w:rsidR="00AA0F81">
        <w:t xml:space="preserve"> </w:t>
      </w:r>
      <w:r w:rsidR="002C373C">
        <w:t>it is needed t</w:t>
      </w:r>
      <w:r w:rsidR="004C00F3">
        <w:t xml:space="preserve">o consider the signalling framework </w:t>
      </w:r>
      <w:r w:rsidR="007237DD">
        <w:t xml:space="preserve">that allows </w:t>
      </w:r>
      <w:proofErr w:type="spellStart"/>
      <w:r w:rsidR="007237DD">
        <w:t>gNB</w:t>
      </w:r>
      <w:proofErr w:type="spellEnd"/>
      <w:r w:rsidR="007237DD">
        <w:t xml:space="preserve"> and UE to achieve a common understanding about which node should carry out</w:t>
      </w:r>
      <w:r w:rsidR="002C373C">
        <w:t xml:space="preserve"> PDC</w:t>
      </w:r>
      <w:r w:rsidR="004C00F3">
        <w:t>.</w:t>
      </w:r>
      <w:r w:rsidR="00AA0F81">
        <w:t xml:space="preserve"> </w:t>
      </w:r>
      <w:r w:rsidR="00FF2F37">
        <w:t>The</w:t>
      </w:r>
      <w:r w:rsidR="002756DC">
        <w:t xml:space="preserve"> email discussion </w:t>
      </w:r>
      <w:r w:rsidR="007237DD">
        <w:t>[</w:t>
      </w:r>
      <w:r w:rsidR="00A04620">
        <w:t>7</w:t>
      </w:r>
      <w:r w:rsidR="007237DD">
        <w:t xml:space="preserve">] </w:t>
      </w:r>
      <w:r w:rsidR="00FF2F37">
        <w:t xml:space="preserve">visits </w:t>
      </w:r>
      <w:r w:rsidR="002756DC">
        <w:t>several options o</w:t>
      </w:r>
      <w:r w:rsidR="00FF2F37">
        <w:t xml:space="preserve">n </w:t>
      </w:r>
      <w:r w:rsidR="002756DC">
        <w:t>indicat</w:t>
      </w:r>
      <w:r w:rsidR="00FF2F37">
        <w:t>ions to instruct</w:t>
      </w:r>
      <w:r w:rsidR="002756DC">
        <w:t xml:space="preserve"> the UE whe</w:t>
      </w:r>
      <w:r w:rsidR="00FF2F37">
        <w:t xml:space="preserve">ther </w:t>
      </w:r>
      <w:r w:rsidR="002756DC">
        <w:t xml:space="preserve">PDC </w:t>
      </w:r>
      <w:r w:rsidR="00FF2F37">
        <w:t>should be conducted</w:t>
      </w:r>
      <w:r w:rsidR="008C348F">
        <w:t>.</w:t>
      </w:r>
      <w:r w:rsidR="00FF2F37">
        <w:t xml:space="preserve"> </w:t>
      </w:r>
      <w:r w:rsidR="00B1759B">
        <w:t xml:space="preserve">The </w:t>
      </w:r>
      <w:r w:rsidR="00FF2F37">
        <w:t>following options</w:t>
      </w:r>
      <w:r w:rsidR="00A9497F">
        <w:t xml:space="preserve"> </w:t>
      </w:r>
      <w:r w:rsidR="00B1759B">
        <w:t xml:space="preserve">were identified </w:t>
      </w:r>
      <w:proofErr w:type="gramStart"/>
      <w:r w:rsidR="00B1759B">
        <w:t xml:space="preserve">in </w:t>
      </w:r>
      <w:r w:rsidR="00A9497F">
        <w:t xml:space="preserve"> the</w:t>
      </w:r>
      <w:proofErr w:type="gramEnd"/>
      <w:r w:rsidR="00A9497F">
        <w:t xml:space="preserve"> email discussion</w:t>
      </w:r>
      <w:r w:rsidR="00ED4400" w:rsidRPr="00ED4400">
        <w:t xml:space="preserve"> </w:t>
      </w:r>
      <w:r w:rsidR="00ED4400">
        <w:t>[</w:t>
      </w:r>
      <w:r w:rsidR="00A04620">
        <w:t>7</w:t>
      </w:r>
      <w:r w:rsidR="00ED4400">
        <w:t>]</w:t>
      </w:r>
      <w:r w:rsidR="00FF2F37">
        <w:t>:</w:t>
      </w:r>
    </w:p>
    <w:tbl>
      <w:tblPr>
        <w:tblStyle w:val="TableGrid"/>
        <w:tblW w:w="0" w:type="auto"/>
        <w:tblLook w:val="04A0" w:firstRow="1" w:lastRow="0" w:firstColumn="1" w:lastColumn="0" w:noHBand="0" w:noVBand="1"/>
      </w:tblPr>
      <w:tblGrid>
        <w:gridCol w:w="9631"/>
      </w:tblGrid>
      <w:tr w:rsidR="00414977" w14:paraId="4F73A26E" w14:textId="77777777" w:rsidTr="00E45F95">
        <w:tc>
          <w:tcPr>
            <w:tcW w:w="9631" w:type="dxa"/>
          </w:tcPr>
          <w:p w14:paraId="4B3B01ED" w14:textId="77777777" w:rsidR="00414977" w:rsidRPr="00667259" w:rsidRDefault="00414977" w:rsidP="00E45F95">
            <w:pPr>
              <w:pStyle w:val="ListParagraph"/>
              <w:numPr>
                <w:ilvl w:val="0"/>
                <w:numId w:val="15"/>
              </w:numPr>
              <w:jc w:val="both"/>
              <w:rPr>
                <w:rFonts w:ascii="Times New Roman" w:hAnsi="Times New Roman" w:cs="Times New Roman"/>
                <w:sz w:val="20"/>
                <w:szCs w:val="20"/>
                <w:lang w:val="en-US"/>
              </w:rPr>
            </w:pPr>
            <w:r w:rsidRPr="00667259">
              <w:rPr>
                <w:rFonts w:ascii="Times New Roman" w:hAnsi="Times New Roman" w:cs="Times New Roman"/>
                <w:sz w:val="20"/>
                <w:szCs w:val="20"/>
                <w:lang w:val="en-US"/>
              </w:rPr>
              <w:t xml:space="preserve">Option 1: The </w:t>
            </w:r>
            <w:proofErr w:type="spellStart"/>
            <w:r w:rsidRPr="00667259">
              <w:rPr>
                <w:rFonts w:ascii="Times New Roman" w:hAnsi="Times New Roman" w:cs="Times New Roman"/>
                <w:sz w:val="20"/>
                <w:szCs w:val="20"/>
                <w:lang w:val="en-US"/>
              </w:rPr>
              <w:t>gNB</w:t>
            </w:r>
            <w:proofErr w:type="spellEnd"/>
            <w:r w:rsidRPr="00667259">
              <w:rPr>
                <w:rFonts w:ascii="Times New Roman" w:hAnsi="Times New Roman" w:cs="Times New Roman"/>
                <w:sz w:val="20"/>
                <w:szCs w:val="20"/>
                <w:lang w:val="en-US"/>
              </w:rPr>
              <w:t xml:space="preserve"> indicates to the UE whether it has done pre-compensation ([2], [10])</w:t>
            </w:r>
          </w:p>
          <w:p w14:paraId="31C5B6BE" w14:textId="77777777" w:rsidR="00414977" w:rsidRPr="00667259" w:rsidRDefault="00414977" w:rsidP="00E45F95">
            <w:pPr>
              <w:pStyle w:val="ListParagraph"/>
              <w:numPr>
                <w:ilvl w:val="0"/>
                <w:numId w:val="15"/>
              </w:numPr>
              <w:jc w:val="both"/>
              <w:rPr>
                <w:rFonts w:ascii="Times New Roman" w:hAnsi="Times New Roman" w:cs="Times New Roman"/>
                <w:sz w:val="20"/>
                <w:szCs w:val="20"/>
                <w:lang w:val="en-US"/>
              </w:rPr>
            </w:pPr>
            <w:r w:rsidRPr="00667259">
              <w:rPr>
                <w:rFonts w:ascii="Times New Roman" w:hAnsi="Times New Roman" w:cs="Times New Roman"/>
                <w:sz w:val="20"/>
                <w:szCs w:val="20"/>
                <w:lang w:val="en-US"/>
              </w:rPr>
              <w:t xml:space="preserve">Option 2: The </w:t>
            </w:r>
            <w:proofErr w:type="spellStart"/>
            <w:r w:rsidRPr="00667259">
              <w:rPr>
                <w:rFonts w:ascii="Times New Roman" w:hAnsi="Times New Roman" w:cs="Times New Roman"/>
                <w:sz w:val="20"/>
                <w:szCs w:val="20"/>
                <w:lang w:val="en-US"/>
              </w:rPr>
              <w:t>gNB</w:t>
            </w:r>
            <w:proofErr w:type="spellEnd"/>
            <w:r w:rsidRPr="00667259">
              <w:rPr>
                <w:rFonts w:ascii="Times New Roman" w:hAnsi="Times New Roman" w:cs="Times New Roman"/>
                <w:sz w:val="20"/>
                <w:szCs w:val="20"/>
                <w:lang w:val="en-US"/>
              </w:rPr>
              <w:t xml:space="preserve"> enables/disables UE-side PDC via an indication in unicast-RRC signal ([3])</w:t>
            </w:r>
          </w:p>
          <w:p w14:paraId="0900621B" w14:textId="77777777" w:rsidR="00414977" w:rsidRPr="00667259" w:rsidRDefault="00414977" w:rsidP="00E45F95">
            <w:pPr>
              <w:pStyle w:val="ListParagraph"/>
              <w:numPr>
                <w:ilvl w:val="0"/>
                <w:numId w:val="15"/>
              </w:numPr>
              <w:jc w:val="both"/>
              <w:rPr>
                <w:rFonts w:ascii="Times New Roman" w:hAnsi="Times New Roman" w:cs="Times New Roman"/>
                <w:sz w:val="20"/>
                <w:szCs w:val="20"/>
                <w:lang w:val="en-US"/>
              </w:rPr>
            </w:pPr>
            <w:r w:rsidRPr="00667259">
              <w:rPr>
                <w:rFonts w:ascii="Times New Roman" w:hAnsi="Times New Roman" w:cs="Times New Roman"/>
                <w:sz w:val="20"/>
                <w:szCs w:val="20"/>
                <w:lang w:val="en-US"/>
              </w:rPr>
              <w:t xml:space="preserve">Option 3: The </w:t>
            </w:r>
            <w:proofErr w:type="spellStart"/>
            <w:r w:rsidRPr="00667259">
              <w:rPr>
                <w:rFonts w:ascii="Times New Roman" w:hAnsi="Times New Roman" w:cs="Times New Roman"/>
                <w:sz w:val="20"/>
                <w:szCs w:val="20"/>
                <w:lang w:val="en-US"/>
              </w:rPr>
              <w:t>gNB</w:t>
            </w:r>
            <w:proofErr w:type="spellEnd"/>
            <w:r w:rsidRPr="00667259">
              <w:rPr>
                <w:rFonts w:ascii="Times New Roman" w:hAnsi="Times New Roman" w:cs="Times New Roman"/>
                <w:sz w:val="20"/>
                <w:szCs w:val="20"/>
                <w:lang w:val="en-US"/>
              </w:rPr>
              <w:t xml:space="preserve"> enables/disables UE-side PDC via an indication in SIB ([8])</w:t>
            </w:r>
          </w:p>
          <w:p w14:paraId="6EC0596F" w14:textId="77777777" w:rsidR="00414977" w:rsidRPr="00667259" w:rsidRDefault="00414977" w:rsidP="00E45F95">
            <w:pPr>
              <w:pStyle w:val="ListParagraph"/>
              <w:numPr>
                <w:ilvl w:val="0"/>
                <w:numId w:val="15"/>
              </w:numPr>
              <w:jc w:val="both"/>
              <w:rPr>
                <w:rFonts w:ascii="Times New Roman" w:hAnsi="Times New Roman" w:cs="Times New Roman"/>
                <w:sz w:val="20"/>
                <w:szCs w:val="20"/>
                <w:lang w:val="en-US"/>
              </w:rPr>
            </w:pPr>
            <w:r w:rsidRPr="00667259">
              <w:rPr>
                <w:rFonts w:ascii="Times New Roman" w:hAnsi="Times New Roman" w:cs="Times New Roman"/>
                <w:sz w:val="20"/>
                <w:szCs w:val="20"/>
                <w:lang w:val="en-US"/>
              </w:rPr>
              <w:t xml:space="preserve">Option 4: The </w:t>
            </w:r>
            <w:proofErr w:type="spellStart"/>
            <w:r w:rsidRPr="00667259">
              <w:rPr>
                <w:rFonts w:ascii="Times New Roman" w:hAnsi="Times New Roman" w:cs="Times New Roman"/>
                <w:sz w:val="20"/>
                <w:szCs w:val="20"/>
                <w:lang w:val="en-US"/>
              </w:rPr>
              <w:t>gNB</w:t>
            </w:r>
            <w:proofErr w:type="spellEnd"/>
            <w:r w:rsidRPr="00667259">
              <w:rPr>
                <w:rFonts w:ascii="Times New Roman" w:hAnsi="Times New Roman" w:cs="Times New Roman"/>
                <w:sz w:val="20"/>
                <w:szCs w:val="20"/>
                <w:lang w:val="en-US"/>
              </w:rPr>
              <w:t xml:space="preserve"> configures the UE with a PD threshold. The UE conducts PD compensation when the PD estimation is above the PD threshold ([12])</w:t>
            </w:r>
          </w:p>
          <w:p w14:paraId="6433D6EE" w14:textId="77777777" w:rsidR="00414977" w:rsidRPr="00667259" w:rsidRDefault="00414977" w:rsidP="00E45F95">
            <w:pPr>
              <w:pStyle w:val="ListParagraph"/>
              <w:numPr>
                <w:ilvl w:val="0"/>
                <w:numId w:val="15"/>
              </w:numPr>
              <w:jc w:val="both"/>
              <w:rPr>
                <w:rFonts w:ascii="Times New Roman" w:hAnsi="Times New Roman" w:cs="Times New Roman"/>
                <w:sz w:val="20"/>
                <w:szCs w:val="20"/>
                <w:lang w:val="en-US"/>
              </w:rPr>
            </w:pPr>
            <w:r w:rsidRPr="00667259">
              <w:rPr>
                <w:rFonts w:ascii="Times New Roman" w:hAnsi="Times New Roman" w:cs="Times New Roman"/>
                <w:sz w:val="20"/>
                <w:szCs w:val="20"/>
                <w:lang w:val="en-US"/>
              </w:rPr>
              <w:t>Option 5: The UE requests a PD estimation update ([16])</w:t>
            </w:r>
          </w:p>
          <w:p w14:paraId="33C95FF9" w14:textId="77777777" w:rsidR="00414977" w:rsidRPr="00667259" w:rsidRDefault="00414977" w:rsidP="00E45F95">
            <w:pPr>
              <w:pStyle w:val="ListParagraph"/>
              <w:numPr>
                <w:ilvl w:val="0"/>
                <w:numId w:val="15"/>
              </w:numPr>
              <w:jc w:val="both"/>
              <w:rPr>
                <w:rFonts w:ascii="Times New Roman" w:hAnsi="Times New Roman" w:cs="Times New Roman"/>
                <w:sz w:val="20"/>
                <w:szCs w:val="20"/>
                <w:lang w:val="en-US"/>
              </w:rPr>
            </w:pPr>
            <w:r w:rsidRPr="00667259">
              <w:rPr>
                <w:rFonts w:ascii="Times New Roman" w:hAnsi="Times New Roman" w:cs="Times New Roman"/>
                <w:sz w:val="20"/>
                <w:szCs w:val="20"/>
                <w:lang w:val="en-US"/>
              </w:rPr>
              <w:t>Option 6: Others</w:t>
            </w:r>
          </w:p>
        </w:tc>
      </w:tr>
    </w:tbl>
    <w:p w14:paraId="222B4109" w14:textId="77777777" w:rsidR="00414977" w:rsidRDefault="00414977" w:rsidP="00414977">
      <w:pPr>
        <w:jc w:val="both"/>
      </w:pPr>
    </w:p>
    <w:p w14:paraId="3BBEB3B3" w14:textId="0D6424A5" w:rsidR="00C80B4C" w:rsidRPr="00183E87" w:rsidRDefault="00414977" w:rsidP="00183E87">
      <w:pPr>
        <w:jc w:val="both"/>
        <w:rPr>
          <w:b/>
          <w:bCs/>
        </w:rPr>
      </w:pPr>
      <w:r>
        <w:t xml:space="preserve">Option 1 to 4 allow the UE to determine if PDC should be undertaken (based on explicit indication from the </w:t>
      </w:r>
      <w:proofErr w:type="spellStart"/>
      <w:r>
        <w:t>gNB</w:t>
      </w:r>
      <w:proofErr w:type="spellEnd"/>
      <w:r>
        <w:t xml:space="preserve"> or triggered by</w:t>
      </w:r>
      <w:r w:rsidR="00BD6092">
        <w:t xml:space="preserve"> a</w:t>
      </w:r>
      <w:r w:rsidR="0027570E">
        <w:t xml:space="preserve"> specified</w:t>
      </w:r>
      <w:r>
        <w:t xml:space="preserve"> event). When the UE is configured not to do PDC, most likely the </w:t>
      </w:r>
      <w:proofErr w:type="spellStart"/>
      <w:r>
        <w:t>gNB</w:t>
      </w:r>
      <w:proofErr w:type="spellEnd"/>
      <w:r>
        <w:t xml:space="preserve"> has decided that PDC does not improve the accuracy or the </w:t>
      </w:r>
      <w:proofErr w:type="spellStart"/>
      <w:r>
        <w:t>gNB</w:t>
      </w:r>
      <w:proofErr w:type="spellEnd"/>
      <w:r>
        <w:t xml:space="preserve"> has already carried out pre-compensation. The indications of Option 2 and 3 are basically the same, although they are carried by a unicast message, or as a broadcast message, respectively. The benefit of a unicast indication is </w:t>
      </w:r>
      <w:r w:rsidR="00BC3FD6">
        <w:t>that</w:t>
      </w:r>
      <w:r>
        <w:t xml:space="preserve"> the </w:t>
      </w:r>
      <w:proofErr w:type="spellStart"/>
      <w:r>
        <w:t>gNB</w:t>
      </w:r>
      <w:proofErr w:type="spellEnd"/>
      <w:r>
        <w:t xml:space="preserve"> </w:t>
      </w:r>
      <w:proofErr w:type="gramStart"/>
      <w:r>
        <w:t>is able to</w:t>
      </w:r>
      <w:proofErr w:type="gramEnd"/>
      <w:r>
        <w:t xml:space="preserve"> configure UEs individually</w:t>
      </w:r>
      <w:r w:rsidR="00B512D8">
        <w:t xml:space="preserve"> and as </w:t>
      </w:r>
      <w:r w:rsidR="00764BAA">
        <w:t>PD is UE specific</w:t>
      </w:r>
      <w:r w:rsidR="00BF2EC5">
        <w:t>, and not expected to change frequently</w:t>
      </w:r>
      <w:r w:rsidR="00B512D8">
        <w:t xml:space="preserve">, </w:t>
      </w:r>
      <w:r w:rsidR="005A6E10">
        <w:t>such indication is preferred. The benefits of a broadcasted PDC trigger would need to be further study if it should be considered.</w:t>
      </w:r>
    </w:p>
    <w:p w14:paraId="36E46151" w14:textId="57D924A0" w:rsidR="00414977" w:rsidRDefault="008C5278" w:rsidP="00BC1E0D">
      <w:pPr>
        <w:jc w:val="both"/>
      </w:pPr>
      <w:r>
        <w:t>We may group Option 1 to 3</w:t>
      </w:r>
      <w:r w:rsidR="00B124B7">
        <w:t xml:space="preserve"> as all rely on a</w:t>
      </w:r>
      <w:r>
        <w:t xml:space="preserve"> binary indication (</w:t>
      </w:r>
      <w:r w:rsidR="00884989">
        <w:t>enable or disable)</w:t>
      </w:r>
      <w:r w:rsidR="00B124B7">
        <w:t xml:space="preserve"> of</w:t>
      </w:r>
      <w:r w:rsidR="00884989">
        <w:t xml:space="preserve"> UE-based PDC and then Option 4 where the network configures the UE with a PD threshold, and leave the evaluation of whether the </w:t>
      </w:r>
      <w:r w:rsidR="006C6656">
        <w:t xml:space="preserve">current PD estimation is above or below this </w:t>
      </w:r>
      <w:r w:rsidR="00B124B7">
        <w:t xml:space="preserve">PD </w:t>
      </w:r>
      <w:r w:rsidR="006C6656">
        <w:t>threshold</w:t>
      </w:r>
      <w:r w:rsidR="00884989">
        <w:t>.</w:t>
      </w:r>
      <w:r w:rsidR="006C6656">
        <w:t xml:space="preserve"> </w:t>
      </w:r>
      <w:r w:rsidR="00BF0799">
        <w:t xml:space="preserve">A </w:t>
      </w:r>
      <w:r w:rsidR="007D4779">
        <w:t>binary indication</w:t>
      </w:r>
      <w:r w:rsidR="00BF0799">
        <w:t xml:space="preserve"> would be the simplest option</w:t>
      </w:r>
      <w:r w:rsidR="007D4779">
        <w:t xml:space="preserve"> to standardize and to handle by the UE</w:t>
      </w:r>
      <w:r w:rsidR="00BF0799">
        <w:t xml:space="preserve">. </w:t>
      </w:r>
      <w:r w:rsidR="006C6656">
        <w:t>The threshold</w:t>
      </w:r>
      <w:r w:rsidR="007D4779">
        <w:t>-</w:t>
      </w:r>
      <w:r w:rsidR="006C6656">
        <w:t xml:space="preserve">based mechanism </w:t>
      </w:r>
      <w:r w:rsidR="00766C88">
        <w:t xml:space="preserve">is more beneficial when </w:t>
      </w:r>
      <w:r w:rsidR="00BD60C8">
        <w:t xml:space="preserve">the </w:t>
      </w:r>
      <w:r w:rsidR="00FE4E79">
        <w:t xml:space="preserve">network would have to frequently </w:t>
      </w:r>
      <w:r w:rsidR="00BD60C8">
        <w:t>change indication to the UE</w:t>
      </w:r>
      <w:r w:rsidR="00E56EDF">
        <w:t>, but this is not expected to be needed</w:t>
      </w:r>
      <w:r w:rsidR="00BF2218">
        <w:t xml:space="preserve"> despite some accuracy benefits of timely disabling PDC when the UE is sufficiently close to the </w:t>
      </w:r>
      <w:proofErr w:type="spellStart"/>
      <w:r w:rsidR="00BF2218">
        <w:t>gNB</w:t>
      </w:r>
      <w:proofErr w:type="spellEnd"/>
      <w:r w:rsidR="00BD60C8">
        <w:t>.</w:t>
      </w:r>
      <w:r w:rsidR="00CB6771">
        <w:t xml:space="preserve"> </w:t>
      </w:r>
    </w:p>
    <w:p w14:paraId="0A8489B1" w14:textId="2E86C43E" w:rsidR="00A21EB5" w:rsidRPr="003B2F95" w:rsidRDefault="00A21EB5" w:rsidP="00A21EB5">
      <w:pPr>
        <w:spacing w:after="0"/>
        <w:jc w:val="both"/>
        <w:rPr>
          <w:b/>
          <w:bCs/>
        </w:rPr>
      </w:pPr>
      <w:r w:rsidRPr="003A4F32">
        <w:rPr>
          <w:b/>
          <w:bCs/>
        </w:rPr>
        <w:t>Propo</w:t>
      </w:r>
      <w:r w:rsidRPr="003B2F95">
        <w:rPr>
          <w:b/>
          <w:bCs/>
        </w:rPr>
        <w:t xml:space="preserve">sal </w:t>
      </w:r>
      <w:r w:rsidR="00544D42">
        <w:rPr>
          <w:b/>
          <w:bCs/>
        </w:rPr>
        <w:t>4</w:t>
      </w:r>
      <w:r w:rsidRPr="0028304A">
        <w:rPr>
          <w:b/>
          <w:bCs/>
        </w:rPr>
        <w:t xml:space="preserve">: </w:t>
      </w:r>
      <w:r w:rsidRPr="0028304A">
        <w:rPr>
          <w:b/>
          <w:bCs/>
          <w:lang w:val="en-US"/>
        </w:rPr>
        <w:t xml:space="preserve">The </w:t>
      </w:r>
      <w:proofErr w:type="spellStart"/>
      <w:r w:rsidRPr="0028304A">
        <w:rPr>
          <w:b/>
          <w:bCs/>
          <w:lang w:val="en-US"/>
        </w:rPr>
        <w:t>gNB</w:t>
      </w:r>
      <w:proofErr w:type="spellEnd"/>
      <w:r w:rsidRPr="0028304A">
        <w:rPr>
          <w:b/>
          <w:bCs/>
          <w:lang w:val="en-US"/>
        </w:rPr>
        <w:t xml:space="preserve"> enables/disables UE-side PDC via a unicasted</w:t>
      </w:r>
      <w:r w:rsidR="003F6171">
        <w:rPr>
          <w:b/>
          <w:bCs/>
          <w:lang w:val="en-US"/>
        </w:rPr>
        <w:t xml:space="preserve"> </w:t>
      </w:r>
      <w:r w:rsidR="00BC37A7">
        <w:rPr>
          <w:b/>
          <w:bCs/>
          <w:lang w:val="en-US"/>
        </w:rPr>
        <w:t xml:space="preserve">explicit </w:t>
      </w:r>
      <w:r w:rsidRPr="0028304A">
        <w:rPr>
          <w:b/>
          <w:bCs/>
          <w:lang w:val="en-US"/>
        </w:rPr>
        <w:t>indication</w:t>
      </w:r>
      <w:r w:rsidRPr="003B2F95">
        <w:rPr>
          <w:b/>
          <w:bCs/>
        </w:rPr>
        <w:t>.</w:t>
      </w:r>
    </w:p>
    <w:p w14:paraId="19A3035A" w14:textId="65E006B3" w:rsidR="00A21EB5" w:rsidRDefault="00A21EB5" w:rsidP="00A21EB5">
      <w:pPr>
        <w:pStyle w:val="ListParagraph"/>
        <w:numPr>
          <w:ilvl w:val="0"/>
          <w:numId w:val="26"/>
        </w:numPr>
        <w:jc w:val="both"/>
        <w:rPr>
          <w:rFonts w:ascii="Times New Roman" w:eastAsia="Times New Roman" w:hAnsi="Times New Roman" w:cs="Times New Roman"/>
          <w:b/>
          <w:bCs/>
          <w:sz w:val="20"/>
          <w:szCs w:val="20"/>
          <w:lang w:val="en-GB" w:eastAsia="en-US"/>
        </w:rPr>
      </w:pPr>
      <w:r w:rsidRPr="00C80B4C">
        <w:rPr>
          <w:rFonts w:ascii="Times New Roman" w:eastAsia="Times New Roman" w:hAnsi="Times New Roman" w:cs="Times New Roman"/>
          <w:b/>
          <w:bCs/>
          <w:sz w:val="20"/>
          <w:szCs w:val="20"/>
          <w:lang w:val="en-GB" w:eastAsia="en-US"/>
        </w:rPr>
        <w:t>FFS the benefits of a broadcasted PDC indication signal</w:t>
      </w:r>
    </w:p>
    <w:p w14:paraId="448C42FB" w14:textId="77777777" w:rsidR="00183E87" w:rsidRPr="00EE1F7F" w:rsidRDefault="00183E87" w:rsidP="00EE1F7F">
      <w:pPr>
        <w:pStyle w:val="ListParagraph"/>
        <w:jc w:val="both"/>
        <w:rPr>
          <w:rFonts w:ascii="Times New Roman" w:eastAsia="Times New Roman" w:hAnsi="Times New Roman" w:cs="Times New Roman"/>
          <w:b/>
          <w:bCs/>
          <w:sz w:val="20"/>
          <w:szCs w:val="20"/>
          <w:lang w:val="en-GB" w:eastAsia="en-US"/>
        </w:rPr>
      </w:pPr>
    </w:p>
    <w:p w14:paraId="62533711" w14:textId="604125E7" w:rsidR="00414977" w:rsidRDefault="00414977" w:rsidP="00414977">
      <w:pPr>
        <w:jc w:val="both"/>
      </w:pPr>
      <w:r>
        <w:t>It has been discussed if the UE should be able to request a PD estimation update</w:t>
      </w:r>
      <w:r w:rsidR="00B1289C">
        <w:t xml:space="preserve"> (i.e. Option 5)</w:t>
      </w:r>
      <w:r>
        <w:t>. If this is to be supported, it is essential to assume that the internal oscillator of the UE is sufficiently stable, such that it can detect a change in the DL frame timing</w:t>
      </w:r>
      <w:r w:rsidR="005E492F">
        <w:t xml:space="preserve"> at the UE</w:t>
      </w:r>
      <w:r>
        <w:t xml:space="preserve">, which </w:t>
      </w:r>
      <w:r w:rsidR="002D3C04">
        <w:t xml:space="preserve">could </w:t>
      </w:r>
      <w:r>
        <w:t xml:space="preserve">due to a change in the propagation delay. If the UE internal oscillator is not sufficiently accurate, it will not be able to distinguish whether the change in DL frame timing is due to the propagation delay or due to its oscillator is drifting. It is not unreasonable to assume that a UE will have a </w:t>
      </w:r>
      <w:r w:rsidR="00231DE6">
        <w:t xml:space="preserve">sufficient </w:t>
      </w:r>
      <w:r>
        <w:t xml:space="preserve">stable oscillator, </w:t>
      </w:r>
      <w:r w:rsidR="006F2D96">
        <w:t>especially when dealing with</w:t>
      </w:r>
      <w:r>
        <w:t xml:space="preserve"> industrial device</w:t>
      </w:r>
      <w:r w:rsidR="006F2D96">
        <w:t>s</w:t>
      </w:r>
      <w:r>
        <w:t xml:space="preserve">. Assuming a decent UE oscillator clock, the UE may </w:t>
      </w:r>
      <w:r w:rsidR="006F2D96">
        <w:t xml:space="preserve">be able </w:t>
      </w:r>
      <w:r>
        <w:t xml:space="preserve">to detect a change on the DL frame timing and then indicate this to the </w:t>
      </w:r>
      <w:proofErr w:type="spellStart"/>
      <w:r>
        <w:t>gNB</w:t>
      </w:r>
      <w:proofErr w:type="spellEnd"/>
      <w:r>
        <w:t xml:space="preserve">. The alternative to a UE indication, is that the </w:t>
      </w:r>
      <w:proofErr w:type="spellStart"/>
      <w:r>
        <w:t>gNB</w:t>
      </w:r>
      <w:proofErr w:type="spellEnd"/>
      <w:r>
        <w:t xml:space="preserve"> configur</w:t>
      </w:r>
      <w:r w:rsidR="006F2D96">
        <w:t>es</w:t>
      </w:r>
      <w:r>
        <w:t xml:space="preserve"> propagation delay estimation procedure with a periodicity</w:t>
      </w:r>
      <w:r w:rsidR="006F2D96">
        <w:t xml:space="preserve"> </w:t>
      </w:r>
      <w:r w:rsidR="00E76C14">
        <w:t>with sufficiently low periodicity</w:t>
      </w:r>
      <w:r>
        <w:t xml:space="preserve"> </w:t>
      </w:r>
      <w:r w:rsidR="00E76C14">
        <w:t xml:space="preserve">to allow a </w:t>
      </w:r>
      <w:r w:rsidR="006F2D96">
        <w:t>UE</w:t>
      </w:r>
      <w:r>
        <w:t xml:space="preserve"> </w:t>
      </w:r>
      <w:r w:rsidR="00E76C14">
        <w:t xml:space="preserve">to </w:t>
      </w:r>
      <w:r>
        <w:t>detect a</w:t>
      </w:r>
      <w:r w:rsidR="00E76C14">
        <w:t xml:space="preserve"> PD</w:t>
      </w:r>
      <w:r>
        <w:t xml:space="preserve"> change. </w:t>
      </w:r>
    </w:p>
    <w:p w14:paraId="2D746FC7" w14:textId="032347CF" w:rsidR="00414977" w:rsidRPr="003A4F32" w:rsidRDefault="00414977" w:rsidP="00414977">
      <w:pPr>
        <w:jc w:val="both"/>
        <w:rPr>
          <w:b/>
          <w:bCs/>
        </w:rPr>
      </w:pPr>
      <w:r w:rsidRPr="003A4F32">
        <w:rPr>
          <w:b/>
          <w:bCs/>
        </w:rPr>
        <w:t xml:space="preserve">Proposal </w:t>
      </w:r>
      <w:r w:rsidR="00544D42">
        <w:rPr>
          <w:b/>
          <w:bCs/>
        </w:rPr>
        <w:t>5</w:t>
      </w:r>
      <w:r w:rsidRPr="003A4F32">
        <w:rPr>
          <w:b/>
          <w:bCs/>
        </w:rPr>
        <w:t xml:space="preserve">: The </w:t>
      </w:r>
      <w:proofErr w:type="spellStart"/>
      <w:r w:rsidRPr="003A4F32">
        <w:rPr>
          <w:b/>
          <w:bCs/>
        </w:rPr>
        <w:t>gNB</w:t>
      </w:r>
      <w:proofErr w:type="spellEnd"/>
      <w:r w:rsidRPr="003A4F32">
        <w:rPr>
          <w:b/>
          <w:bCs/>
        </w:rPr>
        <w:t xml:space="preserve"> may configure the UE to </w:t>
      </w:r>
      <w:r>
        <w:rPr>
          <w:b/>
          <w:bCs/>
        </w:rPr>
        <w:t>report changes in</w:t>
      </w:r>
      <w:r w:rsidRPr="003A4F32">
        <w:rPr>
          <w:b/>
          <w:bCs/>
        </w:rPr>
        <w:t xml:space="preserve"> the DL frame timing.</w:t>
      </w:r>
    </w:p>
    <w:p w14:paraId="66F0EEA5" w14:textId="1F72D8A1" w:rsidR="00414977" w:rsidRDefault="00414977" w:rsidP="00414977">
      <w:pPr>
        <w:jc w:val="distribute"/>
      </w:pPr>
      <w:r>
        <w:t xml:space="preserve">Lastly, a UE may be aware of the expected clock drift rate, but not necessarily the instantaneous clock drift. The expected clock drift rate can help the network to decide the </w:t>
      </w:r>
      <w:r w:rsidR="00103EC6">
        <w:t xml:space="preserve">required periodicity of </w:t>
      </w:r>
      <w:r>
        <w:t xml:space="preserve">referenceTimeInfo-r16 (and the corresponding availability of DL reference signals). A UE signal of its desired </w:t>
      </w:r>
      <w:r w:rsidR="00D65BA1">
        <w:t xml:space="preserve">periodicity </w:t>
      </w:r>
      <w:r w:rsidR="004874F7">
        <w:t xml:space="preserve">which </w:t>
      </w:r>
      <w:r>
        <w:t xml:space="preserve">can be a simple extension to </w:t>
      </w:r>
      <w:proofErr w:type="spellStart"/>
      <w:r w:rsidRPr="00F51623">
        <w:t>UEAssistanceInformation</w:t>
      </w:r>
      <w:proofErr w:type="spellEnd"/>
      <w:r>
        <w:t>, where the UE may already signal its preference in receiving referenceTimeInfo-r16.</w:t>
      </w:r>
    </w:p>
    <w:p w14:paraId="7E365B47" w14:textId="7B867609" w:rsidR="00962F58" w:rsidRPr="003A4F32" w:rsidRDefault="00414977" w:rsidP="00414977">
      <w:pPr>
        <w:jc w:val="both"/>
        <w:rPr>
          <w:b/>
          <w:bCs/>
        </w:rPr>
      </w:pPr>
      <w:r w:rsidRPr="003A4F32">
        <w:rPr>
          <w:b/>
          <w:bCs/>
        </w:rPr>
        <w:t xml:space="preserve">Proposal </w:t>
      </w:r>
      <w:r w:rsidR="00544D42">
        <w:rPr>
          <w:b/>
          <w:bCs/>
        </w:rPr>
        <w:t>6</w:t>
      </w:r>
      <w:r w:rsidRPr="003A4F32">
        <w:rPr>
          <w:b/>
          <w:bCs/>
        </w:rPr>
        <w:t>: The UE may indicate the desired referenceTimeInfo-r16 periodicity</w:t>
      </w:r>
      <w:r>
        <w:rPr>
          <w:b/>
          <w:bCs/>
        </w:rPr>
        <w:t xml:space="preserve"> </w:t>
      </w:r>
      <w:r w:rsidRPr="003A4F32">
        <w:rPr>
          <w:b/>
          <w:bCs/>
        </w:rPr>
        <w:t xml:space="preserve">in </w:t>
      </w:r>
      <w:proofErr w:type="spellStart"/>
      <w:r w:rsidRPr="003A4F32">
        <w:rPr>
          <w:b/>
          <w:bCs/>
        </w:rPr>
        <w:t>UEAssistanceInformation</w:t>
      </w:r>
      <w:proofErr w:type="spellEnd"/>
      <w:r w:rsidRPr="003A4F32">
        <w:rPr>
          <w:b/>
          <w:bCs/>
        </w:rPr>
        <w:t>.</w:t>
      </w:r>
    </w:p>
    <w:p w14:paraId="07C25B9B" w14:textId="77777777" w:rsidR="00B1289C" w:rsidRDefault="00B1289C" w:rsidP="00C413D5">
      <w:pPr>
        <w:jc w:val="both"/>
      </w:pPr>
    </w:p>
    <w:p w14:paraId="5FF2457F" w14:textId="7DFEE2AF" w:rsidR="00A209D6" w:rsidRPr="006E13D1" w:rsidRDefault="001E1E1C" w:rsidP="00A209D6">
      <w:pPr>
        <w:pStyle w:val="Heading1"/>
      </w:pPr>
      <w:r>
        <w:t>3</w:t>
      </w:r>
      <w:r w:rsidR="00A209D6" w:rsidRPr="006E13D1">
        <w:tab/>
      </w:r>
      <w:r w:rsidR="008C3057">
        <w:t>Conclusion</w:t>
      </w:r>
    </w:p>
    <w:p w14:paraId="299D8956" w14:textId="0194D5CE" w:rsidR="00B837C4" w:rsidRPr="00667259" w:rsidRDefault="00B837C4" w:rsidP="00B837C4">
      <w:pPr>
        <w:jc w:val="both"/>
      </w:pPr>
      <w:r w:rsidRPr="00667259">
        <w:t xml:space="preserve">In this contribution, we </w:t>
      </w:r>
      <w:r w:rsidR="00103EC6">
        <w:t xml:space="preserve">presented our views on some of the open issues relating to activation/deactivation of UE-side propagation delay compensation. </w:t>
      </w:r>
      <w:r w:rsidRPr="00667259">
        <w:t xml:space="preserve"> Based on the discussion</w:t>
      </w:r>
      <w:r w:rsidR="00103EC6">
        <w:t>,</w:t>
      </w:r>
      <w:r w:rsidRPr="00667259">
        <w:t xml:space="preserve"> we have the following proposals:</w:t>
      </w:r>
    </w:p>
    <w:p w14:paraId="3AE73D74" w14:textId="3939D99A" w:rsidR="00A04620" w:rsidRDefault="00A04620" w:rsidP="00A04620">
      <w:pPr>
        <w:jc w:val="both"/>
        <w:rPr>
          <w:b/>
          <w:bCs/>
        </w:rPr>
      </w:pPr>
      <w:r w:rsidRPr="00347227">
        <w:rPr>
          <w:b/>
          <w:bCs/>
        </w:rPr>
        <w:t xml:space="preserve">Proposal 1: RAN2 confirms it is beneficial </w:t>
      </w:r>
      <w:r>
        <w:rPr>
          <w:b/>
          <w:bCs/>
        </w:rPr>
        <w:t xml:space="preserve">for the RAN if CN provides </w:t>
      </w:r>
      <w:proofErr w:type="spellStart"/>
      <w:r w:rsidRPr="00347227">
        <w:rPr>
          <w:b/>
          <w:bCs/>
        </w:rPr>
        <w:t>Uu</w:t>
      </w:r>
      <w:proofErr w:type="spellEnd"/>
      <w:r w:rsidRPr="00347227">
        <w:rPr>
          <w:b/>
          <w:bCs/>
        </w:rPr>
        <w:t xml:space="preserve"> synchronicity budget and worst-case assumption </w:t>
      </w:r>
      <w:r>
        <w:rPr>
          <w:b/>
          <w:bCs/>
        </w:rPr>
        <w:t xml:space="preserve">CN </w:t>
      </w:r>
      <w:r w:rsidRPr="00347227">
        <w:rPr>
          <w:b/>
          <w:bCs/>
        </w:rPr>
        <w:t>for the achievable time synchronization. Indicate this in the reply LS to SA2.</w:t>
      </w:r>
    </w:p>
    <w:p w14:paraId="28C7B41F" w14:textId="5AAC77AF" w:rsidR="0041532F" w:rsidRPr="00E617A6" w:rsidRDefault="0041532F" w:rsidP="0041532F">
      <w:pPr>
        <w:jc w:val="both"/>
        <w:rPr>
          <w:b/>
          <w:bCs/>
        </w:rPr>
      </w:pPr>
      <w:r w:rsidRPr="00E617A6">
        <w:rPr>
          <w:b/>
          <w:bCs/>
        </w:rPr>
        <w:lastRenderedPageBreak/>
        <w:t xml:space="preserve">Proposal </w:t>
      </w:r>
      <w:r w:rsidR="00544D42">
        <w:rPr>
          <w:b/>
          <w:bCs/>
        </w:rPr>
        <w:t>2</w:t>
      </w:r>
      <w:r w:rsidRPr="00E617A6">
        <w:rPr>
          <w:b/>
          <w:bCs/>
        </w:rPr>
        <w:t>: RAN2 should continue discussions on how to signal the UE to conduct PDC.</w:t>
      </w:r>
    </w:p>
    <w:p w14:paraId="7BB515BB" w14:textId="25784952" w:rsidR="00103EC6" w:rsidRDefault="0041532F" w:rsidP="00B07422">
      <w:pPr>
        <w:jc w:val="both"/>
        <w:rPr>
          <w:b/>
          <w:bCs/>
        </w:rPr>
      </w:pPr>
      <w:r w:rsidRPr="00E617A6">
        <w:rPr>
          <w:b/>
          <w:bCs/>
        </w:rPr>
        <w:t xml:space="preserve">Proposal </w:t>
      </w:r>
      <w:r w:rsidR="00544D42">
        <w:rPr>
          <w:b/>
          <w:bCs/>
        </w:rPr>
        <w:t>3</w:t>
      </w:r>
      <w:r w:rsidRPr="00E617A6">
        <w:rPr>
          <w:b/>
          <w:bCs/>
        </w:rPr>
        <w:t xml:space="preserve">: Define a new UE capability </w:t>
      </w:r>
      <w:r>
        <w:rPr>
          <w:b/>
          <w:bCs/>
        </w:rPr>
        <w:t>for</w:t>
      </w:r>
      <w:r w:rsidRPr="00E617A6">
        <w:rPr>
          <w:b/>
          <w:bCs/>
        </w:rPr>
        <w:t xml:space="preserve"> UE-based PDC.</w:t>
      </w:r>
    </w:p>
    <w:p w14:paraId="22E817BF" w14:textId="12A192FA" w:rsidR="0041532F" w:rsidRPr="003B2F95" w:rsidRDefault="0041532F" w:rsidP="0041532F">
      <w:pPr>
        <w:spacing w:after="0"/>
        <w:jc w:val="both"/>
        <w:rPr>
          <w:b/>
          <w:bCs/>
        </w:rPr>
      </w:pPr>
      <w:r w:rsidRPr="003A4F32">
        <w:rPr>
          <w:b/>
          <w:bCs/>
        </w:rPr>
        <w:t>Propo</w:t>
      </w:r>
      <w:r w:rsidRPr="003B2F95">
        <w:rPr>
          <w:b/>
          <w:bCs/>
        </w:rPr>
        <w:t xml:space="preserve">sal </w:t>
      </w:r>
      <w:r w:rsidR="00544D42">
        <w:rPr>
          <w:b/>
          <w:bCs/>
        </w:rPr>
        <w:t>4</w:t>
      </w:r>
      <w:r w:rsidRPr="0028304A">
        <w:rPr>
          <w:b/>
          <w:bCs/>
        </w:rPr>
        <w:t xml:space="preserve">: </w:t>
      </w:r>
      <w:r w:rsidRPr="0028304A">
        <w:rPr>
          <w:b/>
          <w:bCs/>
          <w:lang w:val="en-US"/>
        </w:rPr>
        <w:t xml:space="preserve">The </w:t>
      </w:r>
      <w:proofErr w:type="spellStart"/>
      <w:r w:rsidRPr="0028304A">
        <w:rPr>
          <w:b/>
          <w:bCs/>
          <w:lang w:val="en-US"/>
        </w:rPr>
        <w:t>gNB</w:t>
      </w:r>
      <w:proofErr w:type="spellEnd"/>
      <w:r w:rsidRPr="0028304A">
        <w:rPr>
          <w:b/>
          <w:bCs/>
          <w:lang w:val="en-US"/>
        </w:rPr>
        <w:t xml:space="preserve"> enables/disables UE-side PDC via a unicasted</w:t>
      </w:r>
      <w:r>
        <w:rPr>
          <w:b/>
          <w:bCs/>
          <w:lang w:val="en-US"/>
        </w:rPr>
        <w:t xml:space="preserve"> explicit </w:t>
      </w:r>
      <w:r w:rsidRPr="0028304A">
        <w:rPr>
          <w:b/>
          <w:bCs/>
          <w:lang w:val="en-US"/>
        </w:rPr>
        <w:t>indication</w:t>
      </w:r>
      <w:r w:rsidRPr="003B2F95">
        <w:rPr>
          <w:b/>
          <w:bCs/>
        </w:rPr>
        <w:t>.</w:t>
      </w:r>
    </w:p>
    <w:p w14:paraId="3CE3C46B" w14:textId="77777777" w:rsidR="0041532F" w:rsidRDefault="0041532F" w:rsidP="0041532F">
      <w:pPr>
        <w:pStyle w:val="ListParagraph"/>
        <w:numPr>
          <w:ilvl w:val="0"/>
          <w:numId w:val="26"/>
        </w:numPr>
        <w:jc w:val="both"/>
        <w:rPr>
          <w:rFonts w:ascii="Times New Roman" w:eastAsia="Times New Roman" w:hAnsi="Times New Roman" w:cs="Times New Roman"/>
          <w:b/>
          <w:bCs/>
          <w:sz w:val="20"/>
          <w:szCs w:val="20"/>
          <w:lang w:val="en-GB" w:eastAsia="en-US"/>
        </w:rPr>
      </w:pPr>
      <w:r w:rsidRPr="00C80B4C">
        <w:rPr>
          <w:rFonts w:ascii="Times New Roman" w:eastAsia="Times New Roman" w:hAnsi="Times New Roman" w:cs="Times New Roman"/>
          <w:b/>
          <w:bCs/>
          <w:sz w:val="20"/>
          <w:szCs w:val="20"/>
          <w:lang w:val="en-GB" w:eastAsia="en-US"/>
        </w:rPr>
        <w:t>FFS the benefits of a broadcasted PDC indication signal</w:t>
      </w:r>
    </w:p>
    <w:p w14:paraId="677587D0" w14:textId="2FB28C2D" w:rsidR="0041532F" w:rsidRDefault="0041532F" w:rsidP="00B07422">
      <w:pPr>
        <w:jc w:val="both"/>
        <w:rPr>
          <w:b/>
          <w:bCs/>
          <w:lang w:val="pl-PL"/>
        </w:rPr>
      </w:pPr>
    </w:p>
    <w:p w14:paraId="11E6ABC5" w14:textId="5B903F89" w:rsidR="0041532F" w:rsidRPr="003A4F32" w:rsidRDefault="0041532F" w:rsidP="0041532F">
      <w:pPr>
        <w:jc w:val="both"/>
        <w:rPr>
          <w:b/>
          <w:bCs/>
        </w:rPr>
      </w:pPr>
      <w:r w:rsidRPr="003A4F32">
        <w:rPr>
          <w:b/>
          <w:bCs/>
        </w:rPr>
        <w:t xml:space="preserve">Proposal </w:t>
      </w:r>
      <w:r w:rsidR="00544D42">
        <w:rPr>
          <w:b/>
          <w:bCs/>
        </w:rPr>
        <w:t>5</w:t>
      </w:r>
      <w:r w:rsidRPr="003A4F32">
        <w:rPr>
          <w:b/>
          <w:bCs/>
        </w:rPr>
        <w:t xml:space="preserve">: The </w:t>
      </w:r>
      <w:proofErr w:type="spellStart"/>
      <w:r w:rsidRPr="003A4F32">
        <w:rPr>
          <w:b/>
          <w:bCs/>
        </w:rPr>
        <w:t>gNB</w:t>
      </w:r>
      <w:proofErr w:type="spellEnd"/>
      <w:r w:rsidRPr="003A4F32">
        <w:rPr>
          <w:b/>
          <w:bCs/>
        </w:rPr>
        <w:t xml:space="preserve"> may configure the UE to </w:t>
      </w:r>
      <w:r>
        <w:rPr>
          <w:b/>
          <w:bCs/>
        </w:rPr>
        <w:t>report changes in</w:t>
      </w:r>
      <w:r w:rsidRPr="003A4F32">
        <w:rPr>
          <w:b/>
          <w:bCs/>
        </w:rPr>
        <w:t xml:space="preserve"> the DL frame timing.</w:t>
      </w:r>
    </w:p>
    <w:p w14:paraId="6FB8717D" w14:textId="47E245E2" w:rsidR="0041532F" w:rsidRDefault="0041532F" w:rsidP="00B07422">
      <w:pPr>
        <w:jc w:val="both"/>
        <w:rPr>
          <w:b/>
          <w:bCs/>
        </w:rPr>
      </w:pPr>
      <w:r w:rsidRPr="003A4F32">
        <w:rPr>
          <w:b/>
          <w:bCs/>
        </w:rPr>
        <w:t xml:space="preserve">Proposal </w:t>
      </w:r>
      <w:r w:rsidR="00544D42">
        <w:rPr>
          <w:b/>
          <w:bCs/>
        </w:rPr>
        <w:t>6</w:t>
      </w:r>
      <w:r w:rsidRPr="003A4F32">
        <w:rPr>
          <w:b/>
          <w:bCs/>
        </w:rPr>
        <w:t>: The UE may indicate the desired referenceTimeInfo-r16 periodicity</w:t>
      </w:r>
      <w:r>
        <w:rPr>
          <w:b/>
          <w:bCs/>
        </w:rPr>
        <w:t xml:space="preserve"> </w:t>
      </w:r>
      <w:r w:rsidRPr="003A4F32">
        <w:rPr>
          <w:b/>
          <w:bCs/>
        </w:rPr>
        <w:t xml:space="preserve">in </w:t>
      </w:r>
      <w:proofErr w:type="spellStart"/>
      <w:r w:rsidRPr="003A4F32">
        <w:rPr>
          <w:b/>
          <w:bCs/>
        </w:rPr>
        <w:t>UEAssistanceInformation</w:t>
      </w:r>
      <w:proofErr w:type="spellEnd"/>
      <w:r w:rsidRPr="003A4F32">
        <w:rPr>
          <w:b/>
          <w:bCs/>
        </w:rPr>
        <w:t>.</w:t>
      </w:r>
    </w:p>
    <w:p w14:paraId="12DC1F45" w14:textId="77777777" w:rsidR="0041532F" w:rsidRPr="0041532F" w:rsidRDefault="0041532F" w:rsidP="00B07422">
      <w:pPr>
        <w:jc w:val="both"/>
        <w:rPr>
          <w:b/>
          <w:bCs/>
        </w:rPr>
      </w:pPr>
    </w:p>
    <w:p w14:paraId="647257F1" w14:textId="3F55A043" w:rsidR="00103EC6" w:rsidRPr="006E13D1" w:rsidRDefault="00103EC6" w:rsidP="00103EC6">
      <w:pPr>
        <w:pStyle w:val="Heading1"/>
      </w:pPr>
      <w:r>
        <w:t>References</w:t>
      </w:r>
    </w:p>
    <w:p w14:paraId="68C1E035" w14:textId="0D4B9B8D" w:rsidR="00517422" w:rsidRDefault="00103EC6" w:rsidP="00103EC6">
      <w:pPr>
        <w:jc w:val="both"/>
      </w:pPr>
      <w:r>
        <w:t xml:space="preserve">[1] </w:t>
      </w:r>
      <w:r w:rsidR="00517422" w:rsidRPr="00517422">
        <w:t>3GPP, TS 22.104, V17.4.0(2020-09),"Service requirements for cyber-physical control applications in vertical domains; Stage 1 (Release 16)".</w:t>
      </w:r>
    </w:p>
    <w:p w14:paraId="289B3515" w14:textId="48335960" w:rsidR="00517422" w:rsidRDefault="00517422" w:rsidP="00103EC6">
      <w:pPr>
        <w:jc w:val="both"/>
      </w:pPr>
      <w:r>
        <w:t xml:space="preserve">[2] </w:t>
      </w:r>
      <w:r w:rsidRPr="00517422">
        <w:t>S2-2102358, Time synchronization accuracy discussion, Nokia, Nokia Shanghai Bell</w:t>
      </w:r>
    </w:p>
    <w:p w14:paraId="74F881AD" w14:textId="6029FBF4" w:rsidR="00517422" w:rsidRPr="00517422" w:rsidRDefault="00517422" w:rsidP="00103EC6">
      <w:pPr>
        <w:jc w:val="both"/>
        <w:rPr>
          <w:lang w:val="en-US"/>
        </w:rPr>
      </w:pPr>
      <w:r>
        <w:t xml:space="preserve">[3] </w:t>
      </w:r>
      <w:r w:rsidRPr="00517422">
        <w:t xml:space="preserve">R2-2010704, Report for Rel-16 (NR-U, Power </w:t>
      </w:r>
      <w:proofErr w:type="gramStart"/>
      <w:r w:rsidRPr="00517422">
        <w:t>Savings</w:t>
      </w:r>
      <w:proofErr w:type="gramEnd"/>
      <w:r w:rsidRPr="00517422">
        <w:t xml:space="preserve"> and 2-step RACH) and </w:t>
      </w:r>
      <w:proofErr w:type="spellStart"/>
      <w:r w:rsidRPr="00517422">
        <w:t>IIoT</w:t>
      </w:r>
      <w:proofErr w:type="spellEnd"/>
      <w:r w:rsidRPr="00517422">
        <w:t xml:space="preserve"> and Small Data, </w:t>
      </w:r>
      <w:proofErr w:type="spellStart"/>
      <w:r w:rsidRPr="00517422">
        <w:t>InterDigital</w:t>
      </w:r>
      <w:proofErr w:type="spellEnd"/>
    </w:p>
    <w:p w14:paraId="2F4C0086" w14:textId="54D1A65B" w:rsidR="001A7B61" w:rsidRDefault="001A7B61" w:rsidP="00103EC6">
      <w:pPr>
        <w:jc w:val="both"/>
        <w:rPr>
          <w:szCs w:val="16"/>
        </w:rPr>
      </w:pPr>
      <w:r>
        <w:t>[</w:t>
      </w:r>
      <w:r w:rsidR="00517422">
        <w:t>4</w:t>
      </w:r>
      <w:r>
        <w:t xml:space="preserve">] </w:t>
      </w:r>
      <w:r w:rsidR="00607E20">
        <w:t xml:space="preserve">R1-2102821, </w:t>
      </w:r>
      <w:r w:rsidR="00607E20" w:rsidRPr="00607E20">
        <w:rPr>
          <w:i/>
          <w:iCs/>
        </w:rPr>
        <w:t>Discussion on enhancements for propagation delay compensation</w:t>
      </w:r>
      <w:r w:rsidR="00607E20">
        <w:t xml:space="preserve">, </w:t>
      </w:r>
      <w:r w:rsidR="00607E20">
        <w:rPr>
          <w:szCs w:val="16"/>
        </w:rPr>
        <w:t>Nokia, Nokia Shanghai Bell</w:t>
      </w:r>
    </w:p>
    <w:p w14:paraId="47258E71" w14:textId="25DE33BD" w:rsidR="00517422" w:rsidRDefault="00517422" w:rsidP="00517422">
      <w:pPr>
        <w:jc w:val="both"/>
      </w:pPr>
      <w:r>
        <w:rPr>
          <w:szCs w:val="16"/>
        </w:rPr>
        <w:t xml:space="preserve">[5] </w:t>
      </w:r>
      <w:r>
        <w:t>R3-</w:t>
      </w:r>
      <w:r w:rsidR="00043CFD">
        <w:t>212379</w:t>
      </w:r>
      <w:r>
        <w:t xml:space="preserve">, </w:t>
      </w:r>
      <w:r w:rsidR="00043CFD" w:rsidRPr="00043CFD">
        <w:rPr>
          <w:i/>
          <w:iCs/>
        </w:rPr>
        <w:t>Time synchronization enhancements</w:t>
      </w:r>
      <w:r>
        <w:t xml:space="preserve">, </w:t>
      </w:r>
      <w:r>
        <w:rPr>
          <w:szCs w:val="16"/>
        </w:rPr>
        <w:t>Nokia, Nokia Shanghai Bell</w:t>
      </w:r>
    </w:p>
    <w:p w14:paraId="45E7F872" w14:textId="4019C339" w:rsidR="00A04620" w:rsidRDefault="00A04620" w:rsidP="00103EC6">
      <w:pPr>
        <w:jc w:val="both"/>
      </w:pPr>
      <w:r>
        <w:t xml:space="preserve">[6] R2-2105871, </w:t>
      </w:r>
      <w:r w:rsidRPr="00A04620">
        <w:t>[Draft] Reply LS on Time Synchronization assistance parameters</w:t>
      </w:r>
      <w:r>
        <w:t xml:space="preserve">, </w:t>
      </w:r>
      <w:r>
        <w:rPr>
          <w:szCs w:val="16"/>
        </w:rPr>
        <w:t>Nokia, Nokia Shanghai Bell</w:t>
      </w:r>
    </w:p>
    <w:p w14:paraId="11A4AA12" w14:textId="4640FAF2" w:rsidR="00103EC6" w:rsidRDefault="001A7B61" w:rsidP="00103EC6">
      <w:pPr>
        <w:jc w:val="both"/>
        <w:rPr>
          <w:szCs w:val="16"/>
        </w:rPr>
      </w:pPr>
      <w:r>
        <w:t>[</w:t>
      </w:r>
      <w:r w:rsidR="00A04620">
        <w:t>7</w:t>
      </w:r>
      <w:r>
        <w:t xml:space="preserve">] </w:t>
      </w:r>
      <w:r w:rsidR="00103EC6">
        <w:t xml:space="preserve">R2-2009755, </w:t>
      </w:r>
      <w:r w:rsidR="00103EC6" w:rsidRPr="00103EC6">
        <w:rPr>
          <w:i/>
          <w:iCs/>
          <w:szCs w:val="16"/>
        </w:rPr>
        <w:t>Summary of E-mail discussion: [Post111-e][</w:t>
      </w:r>
      <w:proofErr w:type="gramStart"/>
      <w:r w:rsidR="00103EC6" w:rsidRPr="00103EC6">
        <w:rPr>
          <w:i/>
          <w:iCs/>
          <w:szCs w:val="16"/>
        </w:rPr>
        <w:t>924][</w:t>
      </w:r>
      <w:proofErr w:type="gramEnd"/>
      <w:r w:rsidR="00103EC6" w:rsidRPr="00103EC6">
        <w:rPr>
          <w:i/>
          <w:iCs/>
          <w:szCs w:val="16"/>
        </w:rPr>
        <w:t>R17 URLLC/</w:t>
      </w:r>
      <w:proofErr w:type="spellStart"/>
      <w:r w:rsidR="00103EC6" w:rsidRPr="00103EC6">
        <w:rPr>
          <w:i/>
          <w:iCs/>
          <w:szCs w:val="16"/>
        </w:rPr>
        <w:t>IIoT</w:t>
      </w:r>
      <w:proofErr w:type="spellEnd"/>
      <w:r w:rsidR="00103EC6" w:rsidRPr="00103EC6">
        <w:rPr>
          <w:i/>
          <w:iCs/>
          <w:szCs w:val="16"/>
        </w:rPr>
        <w:t>] Propagation delay for TSN (Nokia)</w:t>
      </w:r>
      <w:r w:rsidR="00103EC6">
        <w:rPr>
          <w:szCs w:val="16"/>
        </w:rPr>
        <w:t>, Nokia, Nokia Shanghai Bell, RAN2 #112e, Nov. 2020.</w:t>
      </w:r>
    </w:p>
    <w:p w14:paraId="797A63FD" w14:textId="77777777" w:rsidR="00103EC6" w:rsidRPr="00103EC6" w:rsidRDefault="00103EC6" w:rsidP="00103EC6">
      <w:pPr>
        <w:jc w:val="both"/>
      </w:pPr>
    </w:p>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FBE993" w14:textId="77777777" w:rsidR="001C11DA" w:rsidRDefault="001C11DA">
      <w:r>
        <w:separator/>
      </w:r>
    </w:p>
  </w:endnote>
  <w:endnote w:type="continuationSeparator" w:id="0">
    <w:p w14:paraId="0F5EF395" w14:textId="77777777" w:rsidR="001C11DA" w:rsidRDefault="001C11DA">
      <w:r>
        <w:continuationSeparator/>
      </w:r>
    </w:p>
  </w:endnote>
  <w:endnote w:type="continuationNotice" w:id="1">
    <w:p w14:paraId="23F209EE" w14:textId="77777777" w:rsidR="001C11DA" w:rsidRDefault="001C11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190A85" w:rsidRDefault="00190A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190A85" w:rsidRDefault="00190A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190A85" w:rsidRDefault="00190A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F11EA1" w14:textId="77777777" w:rsidR="001C11DA" w:rsidRDefault="001C11DA">
      <w:r>
        <w:separator/>
      </w:r>
    </w:p>
  </w:footnote>
  <w:footnote w:type="continuationSeparator" w:id="0">
    <w:p w14:paraId="578D9781" w14:textId="77777777" w:rsidR="001C11DA" w:rsidRDefault="001C11DA">
      <w:r>
        <w:continuationSeparator/>
      </w:r>
    </w:p>
  </w:footnote>
  <w:footnote w:type="continuationNotice" w:id="1">
    <w:p w14:paraId="2D13A766" w14:textId="77777777" w:rsidR="001C11DA" w:rsidRDefault="001C11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190A85" w:rsidRDefault="00190A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190A85" w:rsidRDefault="00190A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190A85" w:rsidRDefault="00190A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7A6C0E"/>
    <w:multiLevelType w:val="hybridMultilevel"/>
    <w:tmpl w:val="65781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D4CEE"/>
    <w:multiLevelType w:val="hybridMultilevel"/>
    <w:tmpl w:val="16DE8E2E"/>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A2A23"/>
    <w:multiLevelType w:val="hybridMultilevel"/>
    <w:tmpl w:val="732E2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2F443A"/>
    <w:multiLevelType w:val="hybridMultilevel"/>
    <w:tmpl w:val="43BAA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B8186A"/>
    <w:multiLevelType w:val="hybridMultilevel"/>
    <w:tmpl w:val="7AA69100"/>
    <w:lvl w:ilvl="0" w:tplc="59B27E98">
      <w:start w:val="1"/>
      <w:numFmt w:val="bullet"/>
      <w:lvlText w:val="•"/>
      <w:lvlJc w:val="left"/>
      <w:pPr>
        <w:tabs>
          <w:tab w:val="num" w:pos="720"/>
        </w:tabs>
        <w:ind w:left="720" w:hanging="360"/>
      </w:pPr>
      <w:rPr>
        <w:rFonts w:ascii="Arial" w:hAnsi="Arial" w:hint="default"/>
      </w:rPr>
    </w:lvl>
    <w:lvl w:ilvl="1" w:tplc="25F212F6">
      <w:numFmt w:val="bullet"/>
      <w:lvlText w:val="•"/>
      <w:lvlJc w:val="left"/>
      <w:pPr>
        <w:tabs>
          <w:tab w:val="num" w:pos="1440"/>
        </w:tabs>
        <w:ind w:left="1440" w:hanging="360"/>
      </w:pPr>
      <w:rPr>
        <w:rFonts w:ascii="Arial" w:hAnsi="Arial" w:hint="default"/>
      </w:rPr>
    </w:lvl>
    <w:lvl w:ilvl="2" w:tplc="BA2E2F72">
      <w:numFmt w:val="bullet"/>
      <w:lvlText w:val="•"/>
      <w:lvlJc w:val="left"/>
      <w:pPr>
        <w:tabs>
          <w:tab w:val="num" w:pos="2160"/>
        </w:tabs>
        <w:ind w:left="2160" w:hanging="360"/>
      </w:pPr>
      <w:rPr>
        <w:rFonts w:ascii="Arial" w:hAnsi="Arial" w:hint="default"/>
      </w:rPr>
    </w:lvl>
    <w:lvl w:ilvl="3" w:tplc="AC7C9330">
      <w:numFmt w:val="bullet"/>
      <w:lvlText w:val="•"/>
      <w:lvlJc w:val="left"/>
      <w:pPr>
        <w:tabs>
          <w:tab w:val="num" w:pos="2880"/>
        </w:tabs>
        <w:ind w:left="2880" w:hanging="360"/>
      </w:pPr>
      <w:rPr>
        <w:rFonts w:ascii="Arial" w:hAnsi="Arial" w:hint="default"/>
      </w:rPr>
    </w:lvl>
    <w:lvl w:ilvl="4" w:tplc="FC1A2BEA" w:tentative="1">
      <w:start w:val="1"/>
      <w:numFmt w:val="bullet"/>
      <w:lvlText w:val="•"/>
      <w:lvlJc w:val="left"/>
      <w:pPr>
        <w:tabs>
          <w:tab w:val="num" w:pos="3600"/>
        </w:tabs>
        <w:ind w:left="3600" w:hanging="360"/>
      </w:pPr>
      <w:rPr>
        <w:rFonts w:ascii="Arial" w:hAnsi="Arial" w:hint="default"/>
      </w:rPr>
    </w:lvl>
    <w:lvl w:ilvl="5" w:tplc="0CE4CC6E" w:tentative="1">
      <w:start w:val="1"/>
      <w:numFmt w:val="bullet"/>
      <w:lvlText w:val="•"/>
      <w:lvlJc w:val="left"/>
      <w:pPr>
        <w:tabs>
          <w:tab w:val="num" w:pos="4320"/>
        </w:tabs>
        <w:ind w:left="4320" w:hanging="360"/>
      </w:pPr>
      <w:rPr>
        <w:rFonts w:ascii="Arial" w:hAnsi="Arial" w:hint="default"/>
      </w:rPr>
    </w:lvl>
    <w:lvl w:ilvl="6" w:tplc="14E62CB2" w:tentative="1">
      <w:start w:val="1"/>
      <w:numFmt w:val="bullet"/>
      <w:lvlText w:val="•"/>
      <w:lvlJc w:val="left"/>
      <w:pPr>
        <w:tabs>
          <w:tab w:val="num" w:pos="5040"/>
        </w:tabs>
        <w:ind w:left="5040" w:hanging="360"/>
      </w:pPr>
      <w:rPr>
        <w:rFonts w:ascii="Arial" w:hAnsi="Arial" w:hint="default"/>
      </w:rPr>
    </w:lvl>
    <w:lvl w:ilvl="7" w:tplc="2682A7C8" w:tentative="1">
      <w:start w:val="1"/>
      <w:numFmt w:val="bullet"/>
      <w:lvlText w:val="•"/>
      <w:lvlJc w:val="left"/>
      <w:pPr>
        <w:tabs>
          <w:tab w:val="num" w:pos="5760"/>
        </w:tabs>
        <w:ind w:left="5760" w:hanging="360"/>
      </w:pPr>
      <w:rPr>
        <w:rFonts w:ascii="Arial" w:hAnsi="Arial" w:hint="default"/>
      </w:rPr>
    </w:lvl>
    <w:lvl w:ilvl="8" w:tplc="1DDE2A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DA483A"/>
    <w:multiLevelType w:val="hybridMultilevel"/>
    <w:tmpl w:val="2542A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091D08"/>
    <w:multiLevelType w:val="hybridMultilevel"/>
    <w:tmpl w:val="C09E134C"/>
    <w:lvl w:ilvl="0" w:tplc="A278740E">
      <w:start w:val="1"/>
      <w:numFmt w:val="bullet"/>
      <w:lvlText w:val="•"/>
      <w:lvlJc w:val="left"/>
      <w:pPr>
        <w:tabs>
          <w:tab w:val="num" w:pos="720"/>
        </w:tabs>
        <w:ind w:left="720" w:hanging="360"/>
      </w:pPr>
      <w:rPr>
        <w:rFonts w:ascii="Arial" w:hAnsi="Arial" w:hint="default"/>
      </w:rPr>
    </w:lvl>
    <w:lvl w:ilvl="1" w:tplc="DBDAEFDC">
      <w:numFmt w:val="bullet"/>
      <w:lvlText w:val="•"/>
      <w:lvlJc w:val="left"/>
      <w:pPr>
        <w:tabs>
          <w:tab w:val="num" w:pos="1440"/>
        </w:tabs>
        <w:ind w:left="1440" w:hanging="360"/>
      </w:pPr>
      <w:rPr>
        <w:rFonts w:ascii="Arial" w:hAnsi="Arial" w:hint="default"/>
      </w:rPr>
    </w:lvl>
    <w:lvl w:ilvl="2" w:tplc="70F27A18">
      <w:numFmt w:val="bullet"/>
      <w:lvlText w:val="•"/>
      <w:lvlJc w:val="left"/>
      <w:pPr>
        <w:tabs>
          <w:tab w:val="num" w:pos="2160"/>
        </w:tabs>
        <w:ind w:left="2160" w:hanging="360"/>
      </w:pPr>
      <w:rPr>
        <w:rFonts w:ascii="Arial" w:hAnsi="Arial" w:hint="default"/>
      </w:rPr>
    </w:lvl>
    <w:lvl w:ilvl="3" w:tplc="56BCE91E" w:tentative="1">
      <w:start w:val="1"/>
      <w:numFmt w:val="bullet"/>
      <w:lvlText w:val="•"/>
      <w:lvlJc w:val="left"/>
      <w:pPr>
        <w:tabs>
          <w:tab w:val="num" w:pos="2880"/>
        </w:tabs>
        <w:ind w:left="2880" w:hanging="360"/>
      </w:pPr>
      <w:rPr>
        <w:rFonts w:ascii="Arial" w:hAnsi="Arial" w:hint="default"/>
      </w:rPr>
    </w:lvl>
    <w:lvl w:ilvl="4" w:tplc="CDB40436" w:tentative="1">
      <w:start w:val="1"/>
      <w:numFmt w:val="bullet"/>
      <w:lvlText w:val="•"/>
      <w:lvlJc w:val="left"/>
      <w:pPr>
        <w:tabs>
          <w:tab w:val="num" w:pos="3600"/>
        </w:tabs>
        <w:ind w:left="3600" w:hanging="360"/>
      </w:pPr>
      <w:rPr>
        <w:rFonts w:ascii="Arial" w:hAnsi="Arial" w:hint="default"/>
      </w:rPr>
    </w:lvl>
    <w:lvl w:ilvl="5" w:tplc="095EA97E" w:tentative="1">
      <w:start w:val="1"/>
      <w:numFmt w:val="bullet"/>
      <w:lvlText w:val="•"/>
      <w:lvlJc w:val="left"/>
      <w:pPr>
        <w:tabs>
          <w:tab w:val="num" w:pos="4320"/>
        </w:tabs>
        <w:ind w:left="4320" w:hanging="360"/>
      </w:pPr>
      <w:rPr>
        <w:rFonts w:ascii="Arial" w:hAnsi="Arial" w:hint="default"/>
      </w:rPr>
    </w:lvl>
    <w:lvl w:ilvl="6" w:tplc="D0723FF4" w:tentative="1">
      <w:start w:val="1"/>
      <w:numFmt w:val="bullet"/>
      <w:lvlText w:val="•"/>
      <w:lvlJc w:val="left"/>
      <w:pPr>
        <w:tabs>
          <w:tab w:val="num" w:pos="5040"/>
        </w:tabs>
        <w:ind w:left="5040" w:hanging="360"/>
      </w:pPr>
      <w:rPr>
        <w:rFonts w:ascii="Arial" w:hAnsi="Arial" w:hint="default"/>
      </w:rPr>
    </w:lvl>
    <w:lvl w:ilvl="7" w:tplc="D1CAB0AE" w:tentative="1">
      <w:start w:val="1"/>
      <w:numFmt w:val="bullet"/>
      <w:lvlText w:val="•"/>
      <w:lvlJc w:val="left"/>
      <w:pPr>
        <w:tabs>
          <w:tab w:val="num" w:pos="5760"/>
        </w:tabs>
        <w:ind w:left="5760" w:hanging="360"/>
      </w:pPr>
      <w:rPr>
        <w:rFonts w:ascii="Arial" w:hAnsi="Arial" w:hint="default"/>
      </w:rPr>
    </w:lvl>
    <w:lvl w:ilvl="8" w:tplc="9C0609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0C7D63"/>
    <w:multiLevelType w:val="hybridMultilevel"/>
    <w:tmpl w:val="18FA84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190943"/>
    <w:multiLevelType w:val="hybridMultilevel"/>
    <w:tmpl w:val="E598BB10"/>
    <w:lvl w:ilvl="0" w:tplc="FC6EC49C">
      <w:start w:val="1"/>
      <w:numFmt w:val="bullet"/>
      <w:lvlText w:val="•"/>
      <w:lvlJc w:val="left"/>
      <w:pPr>
        <w:tabs>
          <w:tab w:val="num" w:pos="720"/>
        </w:tabs>
        <w:ind w:left="720" w:hanging="360"/>
      </w:pPr>
      <w:rPr>
        <w:rFonts w:ascii="Arial" w:hAnsi="Arial" w:hint="default"/>
      </w:rPr>
    </w:lvl>
    <w:lvl w:ilvl="1" w:tplc="0DD631D2">
      <w:numFmt w:val="bullet"/>
      <w:lvlText w:val="•"/>
      <w:lvlJc w:val="left"/>
      <w:pPr>
        <w:tabs>
          <w:tab w:val="num" w:pos="1440"/>
        </w:tabs>
        <w:ind w:left="1440" w:hanging="360"/>
      </w:pPr>
      <w:rPr>
        <w:rFonts w:ascii="Arial" w:hAnsi="Arial" w:hint="default"/>
      </w:rPr>
    </w:lvl>
    <w:lvl w:ilvl="2" w:tplc="CD42103E">
      <w:numFmt w:val="bullet"/>
      <w:lvlText w:val="•"/>
      <w:lvlJc w:val="left"/>
      <w:pPr>
        <w:tabs>
          <w:tab w:val="num" w:pos="2160"/>
        </w:tabs>
        <w:ind w:left="2160" w:hanging="360"/>
      </w:pPr>
      <w:rPr>
        <w:rFonts w:ascii="Arial" w:hAnsi="Arial" w:hint="default"/>
      </w:rPr>
    </w:lvl>
    <w:lvl w:ilvl="3" w:tplc="6AE2CDE8">
      <w:numFmt w:val="bullet"/>
      <w:lvlText w:val="•"/>
      <w:lvlJc w:val="left"/>
      <w:pPr>
        <w:tabs>
          <w:tab w:val="num" w:pos="2880"/>
        </w:tabs>
        <w:ind w:left="2880" w:hanging="360"/>
      </w:pPr>
      <w:rPr>
        <w:rFonts w:ascii="Arial" w:hAnsi="Arial" w:hint="default"/>
      </w:rPr>
    </w:lvl>
    <w:lvl w:ilvl="4" w:tplc="D64CD784" w:tentative="1">
      <w:start w:val="1"/>
      <w:numFmt w:val="bullet"/>
      <w:lvlText w:val="•"/>
      <w:lvlJc w:val="left"/>
      <w:pPr>
        <w:tabs>
          <w:tab w:val="num" w:pos="3600"/>
        </w:tabs>
        <w:ind w:left="3600" w:hanging="360"/>
      </w:pPr>
      <w:rPr>
        <w:rFonts w:ascii="Arial" w:hAnsi="Arial" w:hint="default"/>
      </w:rPr>
    </w:lvl>
    <w:lvl w:ilvl="5" w:tplc="987A2E68" w:tentative="1">
      <w:start w:val="1"/>
      <w:numFmt w:val="bullet"/>
      <w:lvlText w:val="•"/>
      <w:lvlJc w:val="left"/>
      <w:pPr>
        <w:tabs>
          <w:tab w:val="num" w:pos="4320"/>
        </w:tabs>
        <w:ind w:left="4320" w:hanging="360"/>
      </w:pPr>
      <w:rPr>
        <w:rFonts w:ascii="Arial" w:hAnsi="Arial" w:hint="default"/>
      </w:rPr>
    </w:lvl>
    <w:lvl w:ilvl="6" w:tplc="A2E6D6FA" w:tentative="1">
      <w:start w:val="1"/>
      <w:numFmt w:val="bullet"/>
      <w:lvlText w:val="•"/>
      <w:lvlJc w:val="left"/>
      <w:pPr>
        <w:tabs>
          <w:tab w:val="num" w:pos="5040"/>
        </w:tabs>
        <w:ind w:left="5040" w:hanging="360"/>
      </w:pPr>
      <w:rPr>
        <w:rFonts w:ascii="Arial" w:hAnsi="Arial" w:hint="default"/>
      </w:rPr>
    </w:lvl>
    <w:lvl w:ilvl="7" w:tplc="D61C6CF0" w:tentative="1">
      <w:start w:val="1"/>
      <w:numFmt w:val="bullet"/>
      <w:lvlText w:val="•"/>
      <w:lvlJc w:val="left"/>
      <w:pPr>
        <w:tabs>
          <w:tab w:val="num" w:pos="5760"/>
        </w:tabs>
        <w:ind w:left="5760" w:hanging="360"/>
      </w:pPr>
      <w:rPr>
        <w:rFonts w:ascii="Arial" w:hAnsi="Arial" w:hint="default"/>
      </w:rPr>
    </w:lvl>
    <w:lvl w:ilvl="8" w:tplc="A23EB70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CF4AD1"/>
    <w:multiLevelType w:val="hybridMultilevel"/>
    <w:tmpl w:val="1E6697BC"/>
    <w:lvl w:ilvl="0" w:tplc="04090001">
      <w:start w:val="1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42993B8F"/>
    <w:multiLevelType w:val="hybridMultilevel"/>
    <w:tmpl w:val="4508D1DC"/>
    <w:lvl w:ilvl="0" w:tplc="86B0B6FE">
      <w:start w:val="1"/>
      <w:numFmt w:val="bullet"/>
      <w:lvlText w:val="•"/>
      <w:lvlJc w:val="left"/>
      <w:pPr>
        <w:tabs>
          <w:tab w:val="num" w:pos="720"/>
        </w:tabs>
        <w:ind w:left="720" w:hanging="360"/>
      </w:pPr>
      <w:rPr>
        <w:rFonts w:ascii="Arial" w:hAnsi="Arial" w:hint="default"/>
      </w:rPr>
    </w:lvl>
    <w:lvl w:ilvl="1" w:tplc="CAD25486">
      <w:numFmt w:val="bullet"/>
      <w:lvlText w:val="•"/>
      <w:lvlJc w:val="left"/>
      <w:pPr>
        <w:tabs>
          <w:tab w:val="num" w:pos="1440"/>
        </w:tabs>
        <w:ind w:left="1440" w:hanging="360"/>
      </w:pPr>
      <w:rPr>
        <w:rFonts w:ascii="Arial" w:hAnsi="Arial" w:hint="default"/>
      </w:rPr>
    </w:lvl>
    <w:lvl w:ilvl="2" w:tplc="2370FCFE">
      <w:numFmt w:val="bullet"/>
      <w:lvlText w:val="•"/>
      <w:lvlJc w:val="left"/>
      <w:pPr>
        <w:tabs>
          <w:tab w:val="num" w:pos="2160"/>
        </w:tabs>
        <w:ind w:left="2160" w:hanging="360"/>
      </w:pPr>
      <w:rPr>
        <w:rFonts w:ascii="Arial" w:hAnsi="Arial" w:hint="default"/>
      </w:rPr>
    </w:lvl>
    <w:lvl w:ilvl="3" w:tplc="62469C80" w:tentative="1">
      <w:start w:val="1"/>
      <w:numFmt w:val="bullet"/>
      <w:lvlText w:val="•"/>
      <w:lvlJc w:val="left"/>
      <w:pPr>
        <w:tabs>
          <w:tab w:val="num" w:pos="2880"/>
        </w:tabs>
        <w:ind w:left="2880" w:hanging="360"/>
      </w:pPr>
      <w:rPr>
        <w:rFonts w:ascii="Arial" w:hAnsi="Arial" w:hint="default"/>
      </w:rPr>
    </w:lvl>
    <w:lvl w:ilvl="4" w:tplc="6EE01446" w:tentative="1">
      <w:start w:val="1"/>
      <w:numFmt w:val="bullet"/>
      <w:lvlText w:val="•"/>
      <w:lvlJc w:val="left"/>
      <w:pPr>
        <w:tabs>
          <w:tab w:val="num" w:pos="3600"/>
        </w:tabs>
        <w:ind w:left="3600" w:hanging="360"/>
      </w:pPr>
      <w:rPr>
        <w:rFonts w:ascii="Arial" w:hAnsi="Arial" w:hint="default"/>
      </w:rPr>
    </w:lvl>
    <w:lvl w:ilvl="5" w:tplc="2D380E14" w:tentative="1">
      <w:start w:val="1"/>
      <w:numFmt w:val="bullet"/>
      <w:lvlText w:val="•"/>
      <w:lvlJc w:val="left"/>
      <w:pPr>
        <w:tabs>
          <w:tab w:val="num" w:pos="4320"/>
        </w:tabs>
        <w:ind w:left="4320" w:hanging="360"/>
      </w:pPr>
      <w:rPr>
        <w:rFonts w:ascii="Arial" w:hAnsi="Arial" w:hint="default"/>
      </w:rPr>
    </w:lvl>
    <w:lvl w:ilvl="6" w:tplc="662289EA" w:tentative="1">
      <w:start w:val="1"/>
      <w:numFmt w:val="bullet"/>
      <w:lvlText w:val="•"/>
      <w:lvlJc w:val="left"/>
      <w:pPr>
        <w:tabs>
          <w:tab w:val="num" w:pos="5040"/>
        </w:tabs>
        <w:ind w:left="5040" w:hanging="360"/>
      </w:pPr>
      <w:rPr>
        <w:rFonts w:ascii="Arial" w:hAnsi="Arial" w:hint="default"/>
      </w:rPr>
    </w:lvl>
    <w:lvl w:ilvl="7" w:tplc="7BBE9A54" w:tentative="1">
      <w:start w:val="1"/>
      <w:numFmt w:val="bullet"/>
      <w:lvlText w:val="•"/>
      <w:lvlJc w:val="left"/>
      <w:pPr>
        <w:tabs>
          <w:tab w:val="num" w:pos="5760"/>
        </w:tabs>
        <w:ind w:left="5760" w:hanging="360"/>
      </w:pPr>
      <w:rPr>
        <w:rFonts w:ascii="Arial" w:hAnsi="Arial" w:hint="default"/>
      </w:rPr>
    </w:lvl>
    <w:lvl w:ilvl="8" w:tplc="28FA6AA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61442A3"/>
    <w:multiLevelType w:val="hybridMultilevel"/>
    <w:tmpl w:val="021C3568"/>
    <w:lvl w:ilvl="0" w:tplc="97924BA8">
      <w:start w:val="1"/>
      <w:numFmt w:val="decimal"/>
      <w:lvlText w:val="(%1)"/>
      <w:lvlJc w:val="left"/>
      <w:pPr>
        <w:ind w:left="1069"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F96719"/>
    <w:multiLevelType w:val="hybridMultilevel"/>
    <w:tmpl w:val="0CAA251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50743D07"/>
    <w:multiLevelType w:val="hybridMultilevel"/>
    <w:tmpl w:val="DE52A8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8F7D5B"/>
    <w:multiLevelType w:val="hybridMultilevel"/>
    <w:tmpl w:val="A6848838"/>
    <w:lvl w:ilvl="0" w:tplc="66FC6490">
      <w:start w:val="1"/>
      <w:numFmt w:val="bullet"/>
      <w:lvlText w:val="•"/>
      <w:lvlJc w:val="left"/>
      <w:pPr>
        <w:tabs>
          <w:tab w:val="num" w:pos="720"/>
        </w:tabs>
        <w:ind w:left="720" w:hanging="360"/>
      </w:pPr>
      <w:rPr>
        <w:rFonts w:ascii="Arial" w:hAnsi="Arial" w:hint="default"/>
      </w:rPr>
    </w:lvl>
    <w:lvl w:ilvl="1" w:tplc="700866D6">
      <w:numFmt w:val="bullet"/>
      <w:lvlText w:val="•"/>
      <w:lvlJc w:val="left"/>
      <w:pPr>
        <w:tabs>
          <w:tab w:val="num" w:pos="1440"/>
        </w:tabs>
        <w:ind w:left="1440" w:hanging="360"/>
      </w:pPr>
      <w:rPr>
        <w:rFonts w:ascii="Arial" w:hAnsi="Arial" w:hint="default"/>
      </w:rPr>
    </w:lvl>
    <w:lvl w:ilvl="2" w:tplc="7D464B5E">
      <w:numFmt w:val="bullet"/>
      <w:lvlText w:val="•"/>
      <w:lvlJc w:val="left"/>
      <w:pPr>
        <w:tabs>
          <w:tab w:val="num" w:pos="2160"/>
        </w:tabs>
        <w:ind w:left="2160" w:hanging="360"/>
      </w:pPr>
      <w:rPr>
        <w:rFonts w:ascii="Arial" w:hAnsi="Arial" w:hint="default"/>
      </w:rPr>
    </w:lvl>
    <w:lvl w:ilvl="3" w:tplc="A504F594" w:tentative="1">
      <w:start w:val="1"/>
      <w:numFmt w:val="bullet"/>
      <w:lvlText w:val="•"/>
      <w:lvlJc w:val="left"/>
      <w:pPr>
        <w:tabs>
          <w:tab w:val="num" w:pos="2880"/>
        </w:tabs>
        <w:ind w:left="2880" w:hanging="360"/>
      </w:pPr>
      <w:rPr>
        <w:rFonts w:ascii="Arial" w:hAnsi="Arial" w:hint="default"/>
      </w:rPr>
    </w:lvl>
    <w:lvl w:ilvl="4" w:tplc="E83CCE8C" w:tentative="1">
      <w:start w:val="1"/>
      <w:numFmt w:val="bullet"/>
      <w:lvlText w:val="•"/>
      <w:lvlJc w:val="left"/>
      <w:pPr>
        <w:tabs>
          <w:tab w:val="num" w:pos="3600"/>
        </w:tabs>
        <w:ind w:left="3600" w:hanging="360"/>
      </w:pPr>
      <w:rPr>
        <w:rFonts w:ascii="Arial" w:hAnsi="Arial" w:hint="default"/>
      </w:rPr>
    </w:lvl>
    <w:lvl w:ilvl="5" w:tplc="7B5C09D4" w:tentative="1">
      <w:start w:val="1"/>
      <w:numFmt w:val="bullet"/>
      <w:lvlText w:val="•"/>
      <w:lvlJc w:val="left"/>
      <w:pPr>
        <w:tabs>
          <w:tab w:val="num" w:pos="4320"/>
        </w:tabs>
        <w:ind w:left="4320" w:hanging="360"/>
      </w:pPr>
      <w:rPr>
        <w:rFonts w:ascii="Arial" w:hAnsi="Arial" w:hint="default"/>
      </w:rPr>
    </w:lvl>
    <w:lvl w:ilvl="6" w:tplc="895ABB8A" w:tentative="1">
      <w:start w:val="1"/>
      <w:numFmt w:val="bullet"/>
      <w:lvlText w:val="•"/>
      <w:lvlJc w:val="left"/>
      <w:pPr>
        <w:tabs>
          <w:tab w:val="num" w:pos="5040"/>
        </w:tabs>
        <w:ind w:left="5040" w:hanging="360"/>
      </w:pPr>
      <w:rPr>
        <w:rFonts w:ascii="Arial" w:hAnsi="Arial" w:hint="default"/>
      </w:rPr>
    </w:lvl>
    <w:lvl w:ilvl="7" w:tplc="3B7A16A8" w:tentative="1">
      <w:start w:val="1"/>
      <w:numFmt w:val="bullet"/>
      <w:lvlText w:val="•"/>
      <w:lvlJc w:val="left"/>
      <w:pPr>
        <w:tabs>
          <w:tab w:val="num" w:pos="5760"/>
        </w:tabs>
        <w:ind w:left="5760" w:hanging="360"/>
      </w:pPr>
      <w:rPr>
        <w:rFonts w:ascii="Arial" w:hAnsi="Arial" w:hint="default"/>
      </w:rPr>
    </w:lvl>
    <w:lvl w:ilvl="8" w:tplc="72C2DBD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CB7E77"/>
    <w:multiLevelType w:val="hybridMultilevel"/>
    <w:tmpl w:val="D71CF4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453375F"/>
    <w:multiLevelType w:val="hybridMultilevel"/>
    <w:tmpl w:val="FFFFFFFF"/>
    <w:lvl w:ilvl="0" w:tplc="BF883EE2">
      <w:start w:val="1"/>
      <w:numFmt w:val="decimal"/>
      <w:lvlText w:val="%1."/>
      <w:lvlJc w:val="left"/>
      <w:pPr>
        <w:tabs>
          <w:tab w:val="num" w:pos="720"/>
        </w:tabs>
        <w:ind w:left="720" w:hanging="720"/>
      </w:pPr>
    </w:lvl>
    <w:lvl w:ilvl="1" w:tplc="F58EFD04">
      <w:start w:val="1"/>
      <w:numFmt w:val="decimal"/>
      <w:lvlText w:val="%2."/>
      <w:lvlJc w:val="left"/>
      <w:pPr>
        <w:tabs>
          <w:tab w:val="num" w:pos="1440"/>
        </w:tabs>
        <w:ind w:left="1440" w:hanging="720"/>
      </w:pPr>
    </w:lvl>
    <w:lvl w:ilvl="2" w:tplc="1ECCE55A">
      <w:start w:val="1"/>
      <w:numFmt w:val="decimal"/>
      <w:lvlText w:val="%3."/>
      <w:lvlJc w:val="left"/>
      <w:pPr>
        <w:tabs>
          <w:tab w:val="num" w:pos="2160"/>
        </w:tabs>
        <w:ind w:left="2160" w:hanging="720"/>
      </w:pPr>
    </w:lvl>
    <w:lvl w:ilvl="3" w:tplc="588EA86C">
      <w:start w:val="1"/>
      <w:numFmt w:val="decimal"/>
      <w:lvlText w:val="%4."/>
      <w:lvlJc w:val="left"/>
      <w:pPr>
        <w:tabs>
          <w:tab w:val="num" w:pos="2880"/>
        </w:tabs>
        <w:ind w:left="2880" w:hanging="720"/>
      </w:pPr>
    </w:lvl>
    <w:lvl w:ilvl="4" w:tplc="AE463932">
      <w:start w:val="1"/>
      <w:numFmt w:val="decimal"/>
      <w:lvlText w:val="%5."/>
      <w:lvlJc w:val="left"/>
      <w:pPr>
        <w:tabs>
          <w:tab w:val="num" w:pos="3600"/>
        </w:tabs>
        <w:ind w:left="3600" w:hanging="720"/>
      </w:pPr>
    </w:lvl>
    <w:lvl w:ilvl="5" w:tplc="8D86D616">
      <w:start w:val="1"/>
      <w:numFmt w:val="decimal"/>
      <w:lvlText w:val="%6."/>
      <w:lvlJc w:val="left"/>
      <w:pPr>
        <w:tabs>
          <w:tab w:val="num" w:pos="4320"/>
        </w:tabs>
        <w:ind w:left="4320" w:hanging="720"/>
      </w:pPr>
    </w:lvl>
    <w:lvl w:ilvl="6" w:tplc="A336D326">
      <w:start w:val="1"/>
      <w:numFmt w:val="decimal"/>
      <w:lvlText w:val="%7."/>
      <w:lvlJc w:val="left"/>
      <w:pPr>
        <w:tabs>
          <w:tab w:val="num" w:pos="5040"/>
        </w:tabs>
        <w:ind w:left="5040" w:hanging="720"/>
      </w:pPr>
    </w:lvl>
    <w:lvl w:ilvl="7" w:tplc="16CE4F72">
      <w:start w:val="1"/>
      <w:numFmt w:val="decimal"/>
      <w:lvlText w:val="%8."/>
      <w:lvlJc w:val="left"/>
      <w:pPr>
        <w:tabs>
          <w:tab w:val="num" w:pos="5760"/>
        </w:tabs>
        <w:ind w:left="5760" w:hanging="720"/>
      </w:pPr>
    </w:lvl>
    <w:lvl w:ilvl="8" w:tplc="334EADFE">
      <w:start w:val="1"/>
      <w:numFmt w:val="decimal"/>
      <w:lvlText w:val="%9."/>
      <w:lvlJc w:val="left"/>
      <w:pPr>
        <w:tabs>
          <w:tab w:val="num" w:pos="6480"/>
        </w:tabs>
        <w:ind w:left="6480" w:hanging="720"/>
      </w:pPr>
    </w:lvl>
  </w:abstractNum>
  <w:abstractNum w:abstractNumId="24" w15:restartNumberingAfterBreak="0">
    <w:nsid w:val="5DE03639"/>
    <w:multiLevelType w:val="hybridMultilevel"/>
    <w:tmpl w:val="B0E6EA1A"/>
    <w:lvl w:ilvl="0" w:tplc="0F184C3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29046B"/>
    <w:multiLevelType w:val="hybridMultilevel"/>
    <w:tmpl w:val="D9985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D92498"/>
    <w:multiLevelType w:val="hybridMultilevel"/>
    <w:tmpl w:val="41385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287108"/>
    <w:multiLevelType w:val="hybridMultilevel"/>
    <w:tmpl w:val="1ABE32F6"/>
    <w:lvl w:ilvl="0" w:tplc="8B6E9D5C">
      <w:start w:val="1"/>
      <w:numFmt w:val="bullet"/>
      <w:lvlText w:val="•"/>
      <w:lvlJc w:val="left"/>
      <w:pPr>
        <w:tabs>
          <w:tab w:val="num" w:pos="720"/>
        </w:tabs>
        <w:ind w:left="720" w:hanging="360"/>
      </w:pPr>
      <w:rPr>
        <w:rFonts w:ascii="Arial" w:hAnsi="Arial" w:hint="default"/>
      </w:rPr>
    </w:lvl>
    <w:lvl w:ilvl="1" w:tplc="5C7A2236">
      <w:numFmt w:val="bullet"/>
      <w:lvlText w:val="•"/>
      <w:lvlJc w:val="left"/>
      <w:pPr>
        <w:tabs>
          <w:tab w:val="num" w:pos="1440"/>
        </w:tabs>
        <w:ind w:left="1440" w:hanging="360"/>
      </w:pPr>
      <w:rPr>
        <w:rFonts w:ascii="Arial" w:hAnsi="Arial" w:hint="default"/>
      </w:rPr>
    </w:lvl>
    <w:lvl w:ilvl="2" w:tplc="B6127672">
      <w:numFmt w:val="bullet"/>
      <w:lvlText w:val="•"/>
      <w:lvlJc w:val="left"/>
      <w:pPr>
        <w:tabs>
          <w:tab w:val="num" w:pos="2160"/>
        </w:tabs>
        <w:ind w:left="2160" w:hanging="360"/>
      </w:pPr>
      <w:rPr>
        <w:rFonts w:ascii="Arial" w:hAnsi="Arial" w:hint="default"/>
      </w:rPr>
    </w:lvl>
    <w:lvl w:ilvl="3" w:tplc="5530A1A2">
      <w:numFmt w:val="bullet"/>
      <w:lvlText w:val="•"/>
      <w:lvlJc w:val="left"/>
      <w:pPr>
        <w:tabs>
          <w:tab w:val="num" w:pos="2880"/>
        </w:tabs>
        <w:ind w:left="2880" w:hanging="360"/>
      </w:pPr>
      <w:rPr>
        <w:rFonts w:ascii="Arial" w:hAnsi="Arial" w:hint="default"/>
      </w:rPr>
    </w:lvl>
    <w:lvl w:ilvl="4" w:tplc="53B2241C" w:tentative="1">
      <w:start w:val="1"/>
      <w:numFmt w:val="bullet"/>
      <w:lvlText w:val="•"/>
      <w:lvlJc w:val="left"/>
      <w:pPr>
        <w:tabs>
          <w:tab w:val="num" w:pos="3600"/>
        </w:tabs>
        <w:ind w:left="3600" w:hanging="360"/>
      </w:pPr>
      <w:rPr>
        <w:rFonts w:ascii="Arial" w:hAnsi="Arial" w:hint="default"/>
      </w:rPr>
    </w:lvl>
    <w:lvl w:ilvl="5" w:tplc="D37E2606" w:tentative="1">
      <w:start w:val="1"/>
      <w:numFmt w:val="bullet"/>
      <w:lvlText w:val="•"/>
      <w:lvlJc w:val="left"/>
      <w:pPr>
        <w:tabs>
          <w:tab w:val="num" w:pos="4320"/>
        </w:tabs>
        <w:ind w:left="4320" w:hanging="360"/>
      </w:pPr>
      <w:rPr>
        <w:rFonts w:ascii="Arial" w:hAnsi="Arial" w:hint="default"/>
      </w:rPr>
    </w:lvl>
    <w:lvl w:ilvl="6" w:tplc="1C960F9C" w:tentative="1">
      <w:start w:val="1"/>
      <w:numFmt w:val="bullet"/>
      <w:lvlText w:val="•"/>
      <w:lvlJc w:val="left"/>
      <w:pPr>
        <w:tabs>
          <w:tab w:val="num" w:pos="5040"/>
        </w:tabs>
        <w:ind w:left="5040" w:hanging="360"/>
      </w:pPr>
      <w:rPr>
        <w:rFonts w:ascii="Arial" w:hAnsi="Arial" w:hint="default"/>
      </w:rPr>
    </w:lvl>
    <w:lvl w:ilvl="7" w:tplc="4F4EC392" w:tentative="1">
      <w:start w:val="1"/>
      <w:numFmt w:val="bullet"/>
      <w:lvlText w:val="•"/>
      <w:lvlJc w:val="left"/>
      <w:pPr>
        <w:tabs>
          <w:tab w:val="num" w:pos="5760"/>
        </w:tabs>
        <w:ind w:left="5760" w:hanging="360"/>
      </w:pPr>
      <w:rPr>
        <w:rFonts w:ascii="Arial" w:hAnsi="Arial" w:hint="default"/>
      </w:rPr>
    </w:lvl>
    <w:lvl w:ilvl="8" w:tplc="48CA05C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36E12C1"/>
    <w:multiLevelType w:val="hybridMultilevel"/>
    <w:tmpl w:val="6C2E8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0C4D19"/>
    <w:multiLevelType w:val="hybridMultilevel"/>
    <w:tmpl w:val="D696B84E"/>
    <w:lvl w:ilvl="0" w:tplc="0809000F">
      <w:start w:val="1"/>
      <w:numFmt w:val="decimal"/>
      <w:lvlText w:val="%1."/>
      <w:lvlJc w:val="left"/>
      <w:pPr>
        <w:ind w:left="720" w:hanging="360"/>
      </w:pPr>
    </w:lvl>
    <w:lvl w:ilvl="1" w:tplc="23340146">
      <w:start w:val="1"/>
      <w:numFmt w:val="bullet"/>
      <w:lvlText w:val=""/>
      <w:lvlJc w:val="left"/>
      <w:pPr>
        <w:ind w:left="1440" w:hanging="360"/>
      </w:pPr>
      <w:rPr>
        <w:rFonts w:ascii="Symbol" w:hAnsi="Symbol" w:hint="default"/>
        <w:color w:val="auto"/>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1"/>
  </w:num>
  <w:num w:numId="6">
    <w:abstractNumId w:val="18"/>
  </w:num>
  <w:num w:numId="7">
    <w:abstractNumId w:val="19"/>
  </w:num>
  <w:num w:numId="8">
    <w:abstractNumId w:val="14"/>
  </w:num>
  <w:num w:numId="9">
    <w:abstractNumId w:val="24"/>
  </w:num>
  <w:num w:numId="10">
    <w:abstractNumId w:val="22"/>
  </w:num>
  <w:num w:numId="11">
    <w:abstractNumId w:val="22"/>
  </w:num>
  <w:num w:numId="12">
    <w:abstractNumId w:val="23"/>
  </w:num>
  <w:num w:numId="13">
    <w:abstractNumId w:val="25"/>
  </w:num>
  <w:num w:numId="14">
    <w:abstractNumId w:val="12"/>
  </w:num>
  <w:num w:numId="15">
    <w:abstractNumId w:val="7"/>
  </w:num>
  <w:num w:numId="16">
    <w:abstractNumId w:val="9"/>
  </w:num>
  <w:num w:numId="17">
    <w:abstractNumId w:val="3"/>
  </w:num>
  <w:num w:numId="18">
    <w:abstractNumId w:val="17"/>
  </w:num>
  <w:num w:numId="19">
    <w:abstractNumId w:val="8"/>
  </w:num>
  <w:num w:numId="20">
    <w:abstractNumId w:val="10"/>
  </w:num>
  <w:num w:numId="21">
    <w:abstractNumId w:val="21"/>
  </w:num>
  <w:num w:numId="22">
    <w:abstractNumId w:val="6"/>
  </w:num>
  <w:num w:numId="23">
    <w:abstractNumId w:val="27"/>
  </w:num>
  <w:num w:numId="24">
    <w:abstractNumId w:val="15"/>
  </w:num>
  <w:num w:numId="25">
    <w:abstractNumId w:val="26"/>
  </w:num>
  <w:num w:numId="26">
    <w:abstractNumId w:val="28"/>
  </w:num>
  <w:num w:numId="27">
    <w:abstractNumId w:val="4"/>
  </w:num>
  <w:num w:numId="28">
    <w:abstractNumId w:val="29"/>
  </w:num>
  <w:num w:numId="29">
    <w:abstractNumId w:val="16"/>
  </w:num>
  <w:num w:numId="30">
    <w:abstractNumId w:val="20"/>
  </w:num>
  <w:num w:numId="31">
    <w:abstractNumId w:val="5"/>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6B"/>
    <w:rsid w:val="00000D39"/>
    <w:rsid w:val="00001A65"/>
    <w:rsid w:val="000073A3"/>
    <w:rsid w:val="000074B1"/>
    <w:rsid w:val="000077C5"/>
    <w:rsid w:val="00011AEF"/>
    <w:rsid w:val="00012042"/>
    <w:rsid w:val="000125FF"/>
    <w:rsid w:val="0001283E"/>
    <w:rsid w:val="00013BA3"/>
    <w:rsid w:val="00016557"/>
    <w:rsid w:val="00021971"/>
    <w:rsid w:val="00022682"/>
    <w:rsid w:val="00022BDC"/>
    <w:rsid w:val="00023041"/>
    <w:rsid w:val="00023C40"/>
    <w:rsid w:val="00024236"/>
    <w:rsid w:val="00025FA3"/>
    <w:rsid w:val="000309FF"/>
    <w:rsid w:val="000322CE"/>
    <w:rsid w:val="00032DC8"/>
    <w:rsid w:val="00033397"/>
    <w:rsid w:val="00033B1C"/>
    <w:rsid w:val="00040095"/>
    <w:rsid w:val="00040AE2"/>
    <w:rsid w:val="00043CFD"/>
    <w:rsid w:val="00045B89"/>
    <w:rsid w:val="000472CF"/>
    <w:rsid w:val="00053677"/>
    <w:rsid w:val="000634FA"/>
    <w:rsid w:val="00063D6D"/>
    <w:rsid w:val="00065692"/>
    <w:rsid w:val="0006612F"/>
    <w:rsid w:val="00066761"/>
    <w:rsid w:val="00066A5A"/>
    <w:rsid w:val="00071944"/>
    <w:rsid w:val="00073C9C"/>
    <w:rsid w:val="00075BC8"/>
    <w:rsid w:val="0007650E"/>
    <w:rsid w:val="00076E03"/>
    <w:rsid w:val="00080512"/>
    <w:rsid w:val="00080555"/>
    <w:rsid w:val="000816C6"/>
    <w:rsid w:val="000817ED"/>
    <w:rsid w:val="00082770"/>
    <w:rsid w:val="00083291"/>
    <w:rsid w:val="00084C6B"/>
    <w:rsid w:val="00086CAB"/>
    <w:rsid w:val="000901E9"/>
    <w:rsid w:val="00090468"/>
    <w:rsid w:val="0009296D"/>
    <w:rsid w:val="00094568"/>
    <w:rsid w:val="00096438"/>
    <w:rsid w:val="00096B17"/>
    <w:rsid w:val="00096DA0"/>
    <w:rsid w:val="000976B1"/>
    <w:rsid w:val="000A0907"/>
    <w:rsid w:val="000A191A"/>
    <w:rsid w:val="000A222C"/>
    <w:rsid w:val="000A3ECF"/>
    <w:rsid w:val="000A4E64"/>
    <w:rsid w:val="000A6DFE"/>
    <w:rsid w:val="000A7382"/>
    <w:rsid w:val="000B19B4"/>
    <w:rsid w:val="000B2261"/>
    <w:rsid w:val="000B3BC8"/>
    <w:rsid w:val="000B4673"/>
    <w:rsid w:val="000B54D6"/>
    <w:rsid w:val="000B71DF"/>
    <w:rsid w:val="000B7511"/>
    <w:rsid w:val="000B7BCF"/>
    <w:rsid w:val="000C1FD4"/>
    <w:rsid w:val="000C253A"/>
    <w:rsid w:val="000C30E9"/>
    <w:rsid w:val="000C4B04"/>
    <w:rsid w:val="000C4DAC"/>
    <w:rsid w:val="000C522B"/>
    <w:rsid w:val="000C63EA"/>
    <w:rsid w:val="000C6434"/>
    <w:rsid w:val="000C6ACB"/>
    <w:rsid w:val="000C6FE2"/>
    <w:rsid w:val="000D3020"/>
    <w:rsid w:val="000D3F07"/>
    <w:rsid w:val="000D4309"/>
    <w:rsid w:val="000D4944"/>
    <w:rsid w:val="000D5479"/>
    <w:rsid w:val="000D58AB"/>
    <w:rsid w:val="000D5CBE"/>
    <w:rsid w:val="000D609D"/>
    <w:rsid w:val="000D77B1"/>
    <w:rsid w:val="000D79D9"/>
    <w:rsid w:val="000E0864"/>
    <w:rsid w:val="000E09C6"/>
    <w:rsid w:val="000E2D5A"/>
    <w:rsid w:val="000E4199"/>
    <w:rsid w:val="000E42A1"/>
    <w:rsid w:val="000E49AB"/>
    <w:rsid w:val="000E6E16"/>
    <w:rsid w:val="000F018B"/>
    <w:rsid w:val="000F0C67"/>
    <w:rsid w:val="000F1B08"/>
    <w:rsid w:val="000F4181"/>
    <w:rsid w:val="00100821"/>
    <w:rsid w:val="00100B91"/>
    <w:rsid w:val="00100EE7"/>
    <w:rsid w:val="001010A2"/>
    <w:rsid w:val="00102AE1"/>
    <w:rsid w:val="00103EC6"/>
    <w:rsid w:val="001076B8"/>
    <w:rsid w:val="00111204"/>
    <w:rsid w:val="00112F1A"/>
    <w:rsid w:val="00120787"/>
    <w:rsid w:val="0012159C"/>
    <w:rsid w:val="001241FA"/>
    <w:rsid w:val="00124A9E"/>
    <w:rsid w:val="00124D49"/>
    <w:rsid w:val="0012621C"/>
    <w:rsid w:val="00134321"/>
    <w:rsid w:val="00135FD7"/>
    <w:rsid w:val="00136DFB"/>
    <w:rsid w:val="0013727A"/>
    <w:rsid w:val="001413BD"/>
    <w:rsid w:val="00142B26"/>
    <w:rsid w:val="001445EB"/>
    <w:rsid w:val="0014485F"/>
    <w:rsid w:val="00144FC4"/>
    <w:rsid w:val="00145075"/>
    <w:rsid w:val="00145948"/>
    <w:rsid w:val="001471C0"/>
    <w:rsid w:val="00147B2B"/>
    <w:rsid w:val="001518CF"/>
    <w:rsid w:val="00151CC3"/>
    <w:rsid w:val="00152D9C"/>
    <w:rsid w:val="00154216"/>
    <w:rsid w:val="0015463E"/>
    <w:rsid w:val="00157B83"/>
    <w:rsid w:val="00160DB4"/>
    <w:rsid w:val="001618D7"/>
    <w:rsid w:val="00163708"/>
    <w:rsid w:val="00163A0C"/>
    <w:rsid w:val="00163A5F"/>
    <w:rsid w:val="00164E14"/>
    <w:rsid w:val="00166577"/>
    <w:rsid w:val="00166A23"/>
    <w:rsid w:val="0017125A"/>
    <w:rsid w:val="001741A0"/>
    <w:rsid w:val="001755F6"/>
    <w:rsid w:val="00175FA0"/>
    <w:rsid w:val="001768A1"/>
    <w:rsid w:val="001805B5"/>
    <w:rsid w:val="001809B0"/>
    <w:rsid w:val="00181B6F"/>
    <w:rsid w:val="00183E87"/>
    <w:rsid w:val="00185B63"/>
    <w:rsid w:val="0019001F"/>
    <w:rsid w:val="00190A85"/>
    <w:rsid w:val="00190AA1"/>
    <w:rsid w:val="00193BC3"/>
    <w:rsid w:val="00194CD0"/>
    <w:rsid w:val="00195C9B"/>
    <w:rsid w:val="001A0E7D"/>
    <w:rsid w:val="001A0F26"/>
    <w:rsid w:val="001A4EAF"/>
    <w:rsid w:val="001A5E9D"/>
    <w:rsid w:val="001A7B61"/>
    <w:rsid w:val="001A7CAB"/>
    <w:rsid w:val="001B3F53"/>
    <w:rsid w:val="001B46B8"/>
    <w:rsid w:val="001B4988"/>
    <w:rsid w:val="001B49C9"/>
    <w:rsid w:val="001B6A9D"/>
    <w:rsid w:val="001B7487"/>
    <w:rsid w:val="001B7F33"/>
    <w:rsid w:val="001C11DA"/>
    <w:rsid w:val="001C23F4"/>
    <w:rsid w:val="001C26AC"/>
    <w:rsid w:val="001C2EF6"/>
    <w:rsid w:val="001C4F79"/>
    <w:rsid w:val="001C4FF9"/>
    <w:rsid w:val="001C6F73"/>
    <w:rsid w:val="001D2948"/>
    <w:rsid w:val="001D35CB"/>
    <w:rsid w:val="001D35D7"/>
    <w:rsid w:val="001D43F1"/>
    <w:rsid w:val="001D5672"/>
    <w:rsid w:val="001D5E4A"/>
    <w:rsid w:val="001D5FA6"/>
    <w:rsid w:val="001D5FF4"/>
    <w:rsid w:val="001D764B"/>
    <w:rsid w:val="001E095B"/>
    <w:rsid w:val="001E1E1C"/>
    <w:rsid w:val="001E3D8D"/>
    <w:rsid w:val="001E6361"/>
    <w:rsid w:val="001F168B"/>
    <w:rsid w:val="001F46F1"/>
    <w:rsid w:val="001F5A11"/>
    <w:rsid w:val="001F6DEE"/>
    <w:rsid w:val="001F7831"/>
    <w:rsid w:val="001F7AF1"/>
    <w:rsid w:val="00200F20"/>
    <w:rsid w:val="00203620"/>
    <w:rsid w:val="00203C48"/>
    <w:rsid w:val="00203E65"/>
    <w:rsid w:val="00204045"/>
    <w:rsid w:val="00206CCC"/>
    <w:rsid w:val="0020712B"/>
    <w:rsid w:val="00211586"/>
    <w:rsid w:val="00214E03"/>
    <w:rsid w:val="00216FE8"/>
    <w:rsid w:val="002177AF"/>
    <w:rsid w:val="00217C63"/>
    <w:rsid w:val="00223C04"/>
    <w:rsid w:val="002252CF"/>
    <w:rsid w:val="00225C23"/>
    <w:rsid w:val="00225FC9"/>
    <w:rsid w:val="0022606D"/>
    <w:rsid w:val="002276AF"/>
    <w:rsid w:val="00230167"/>
    <w:rsid w:val="00231728"/>
    <w:rsid w:val="00231DE6"/>
    <w:rsid w:val="00232AAD"/>
    <w:rsid w:val="00235BA5"/>
    <w:rsid w:val="0023691C"/>
    <w:rsid w:val="002412FB"/>
    <w:rsid w:val="0024473F"/>
    <w:rsid w:val="00244A05"/>
    <w:rsid w:val="00245EDE"/>
    <w:rsid w:val="00250404"/>
    <w:rsid w:val="002516C1"/>
    <w:rsid w:val="002555E1"/>
    <w:rsid w:val="00257ACA"/>
    <w:rsid w:val="002610A8"/>
    <w:rsid w:val="002610D8"/>
    <w:rsid w:val="0026144E"/>
    <w:rsid w:val="00262BE6"/>
    <w:rsid w:val="00263B8D"/>
    <w:rsid w:val="00265B0D"/>
    <w:rsid w:val="0026633B"/>
    <w:rsid w:val="002663AE"/>
    <w:rsid w:val="002666E0"/>
    <w:rsid w:val="002671C8"/>
    <w:rsid w:val="002678D5"/>
    <w:rsid w:val="00267C18"/>
    <w:rsid w:val="00272581"/>
    <w:rsid w:val="002747EC"/>
    <w:rsid w:val="002753B8"/>
    <w:rsid w:val="002756DC"/>
    <w:rsid w:val="0027570E"/>
    <w:rsid w:val="0027640E"/>
    <w:rsid w:val="0027691E"/>
    <w:rsid w:val="00276982"/>
    <w:rsid w:val="0028115E"/>
    <w:rsid w:val="002818F5"/>
    <w:rsid w:val="002820CB"/>
    <w:rsid w:val="0028256E"/>
    <w:rsid w:val="002829B1"/>
    <w:rsid w:val="0028304A"/>
    <w:rsid w:val="002831AD"/>
    <w:rsid w:val="002838D2"/>
    <w:rsid w:val="002855BF"/>
    <w:rsid w:val="00286151"/>
    <w:rsid w:val="002861B2"/>
    <w:rsid w:val="0029054D"/>
    <w:rsid w:val="002906AE"/>
    <w:rsid w:val="00292CDD"/>
    <w:rsid w:val="00294765"/>
    <w:rsid w:val="002949A0"/>
    <w:rsid w:val="00295A11"/>
    <w:rsid w:val="00297D51"/>
    <w:rsid w:val="002A05D7"/>
    <w:rsid w:val="002A1003"/>
    <w:rsid w:val="002A42D4"/>
    <w:rsid w:val="002A55C8"/>
    <w:rsid w:val="002A5D64"/>
    <w:rsid w:val="002A6A44"/>
    <w:rsid w:val="002A6F75"/>
    <w:rsid w:val="002A7E13"/>
    <w:rsid w:val="002B079A"/>
    <w:rsid w:val="002B1260"/>
    <w:rsid w:val="002B24D2"/>
    <w:rsid w:val="002B3344"/>
    <w:rsid w:val="002B4584"/>
    <w:rsid w:val="002B5439"/>
    <w:rsid w:val="002B54E7"/>
    <w:rsid w:val="002B6991"/>
    <w:rsid w:val="002B6A82"/>
    <w:rsid w:val="002C0DF7"/>
    <w:rsid w:val="002C2466"/>
    <w:rsid w:val="002C3188"/>
    <w:rsid w:val="002C373C"/>
    <w:rsid w:val="002C4CB5"/>
    <w:rsid w:val="002C53B0"/>
    <w:rsid w:val="002C62C7"/>
    <w:rsid w:val="002D0DF8"/>
    <w:rsid w:val="002D3C04"/>
    <w:rsid w:val="002D3CE8"/>
    <w:rsid w:val="002D3F6E"/>
    <w:rsid w:val="002E03D8"/>
    <w:rsid w:val="002E2B0E"/>
    <w:rsid w:val="002E3545"/>
    <w:rsid w:val="002E47E7"/>
    <w:rsid w:val="002E58B2"/>
    <w:rsid w:val="002E5AD7"/>
    <w:rsid w:val="002F0251"/>
    <w:rsid w:val="002F0D22"/>
    <w:rsid w:val="002F19DF"/>
    <w:rsid w:val="002F5E51"/>
    <w:rsid w:val="002F6584"/>
    <w:rsid w:val="002F7EC7"/>
    <w:rsid w:val="002F7F7E"/>
    <w:rsid w:val="0030156D"/>
    <w:rsid w:val="00304C5E"/>
    <w:rsid w:val="00305C62"/>
    <w:rsid w:val="0030688D"/>
    <w:rsid w:val="00307115"/>
    <w:rsid w:val="003075FA"/>
    <w:rsid w:val="003078FC"/>
    <w:rsid w:val="0031111B"/>
    <w:rsid w:val="00311B17"/>
    <w:rsid w:val="00313859"/>
    <w:rsid w:val="00313E66"/>
    <w:rsid w:val="003149D4"/>
    <w:rsid w:val="00314C72"/>
    <w:rsid w:val="0031537A"/>
    <w:rsid w:val="003172DC"/>
    <w:rsid w:val="0032192D"/>
    <w:rsid w:val="003219E3"/>
    <w:rsid w:val="00321B6C"/>
    <w:rsid w:val="00321E17"/>
    <w:rsid w:val="00321E49"/>
    <w:rsid w:val="00321E6F"/>
    <w:rsid w:val="00325AE3"/>
    <w:rsid w:val="00325B86"/>
    <w:rsid w:val="00326069"/>
    <w:rsid w:val="003265EB"/>
    <w:rsid w:val="0033125B"/>
    <w:rsid w:val="00331CD0"/>
    <w:rsid w:val="0033552B"/>
    <w:rsid w:val="0033616B"/>
    <w:rsid w:val="00337FFC"/>
    <w:rsid w:val="003417F1"/>
    <w:rsid w:val="00344A68"/>
    <w:rsid w:val="00345F46"/>
    <w:rsid w:val="00346A5D"/>
    <w:rsid w:val="00346BF2"/>
    <w:rsid w:val="00347227"/>
    <w:rsid w:val="0034725E"/>
    <w:rsid w:val="003507AD"/>
    <w:rsid w:val="003523E4"/>
    <w:rsid w:val="00352453"/>
    <w:rsid w:val="0035462D"/>
    <w:rsid w:val="0036005C"/>
    <w:rsid w:val="00360874"/>
    <w:rsid w:val="0036099B"/>
    <w:rsid w:val="00361B13"/>
    <w:rsid w:val="00361C76"/>
    <w:rsid w:val="00362927"/>
    <w:rsid w:val="00363575"/>
    <w:rsid w:val="0036459E"/>
    <w:rsid w:val="00364B41"/>
    <w:rsid w:val="00365780"/>
    <w:rsid w:val="0036675C"/>
    <w:rsid w:val="0037076F"/>
    <w:rsid w:val="003740F2"/>
    <w:rsid w:val="003756B4"/>
    <w:rsid w:val="0037620F"/>
    <w:rsid w:val="003769C7"/>
    <w:rsid w:val="00376C58"/>
    <w:rsid w:val="00380B8D"/>
    <w:rsid w:val="00383096"/>
    <w:rsid w:val="003832AF"/>
    <w:rsid w:val="00383F16"/>
    <w:rsid w:val="003844EB"/>
    <w:rsid w:val="0038572D"/>
    <w:rsid w:val="00386017"/>
    <w:rsid w:val="00386B72"/>
    <w:rsid w:val="003871DE"/>
    <w:rsid w:val="00387348"/>
    <w:rsid w:val="00391224"/>
    <w:rsid w:val="0039346C"/>
    <w:rsid w:val="003937D9"/>
    <w:rsid w:val="00393E1F"/>
    <w:rsid w:val="0039473A"/>
    <w:rsid w:val="00395EA0"/>
    <w:rsid w:val="003976E0"/>
    <w:rsid w:val="00397781"/>
    <w:rsid w:val="003A100C"/>
    <w:rsid w:val="003A1C74"/>
    <w:rsid w:val="003A23CF"/>
    <w:rsid w:val="003A24C9"/>
    <w:rsid w:val="003A3414"/>
    <w:rsid w:val="003A41EF"/>
    <w:rsid w:val="003A4F32"/>
    <w:rsid w:val="003A524C"/>
    <w:rsid w:val="003A5C99"/>
    <w:rsid w:val="003A5D07"/>
    <w:rsid w:val="003A5D82"/>
    <w:rsid w:val="003A7C4C"/>
    <w:rsid w:val="003B2F95"/>
    <w:rsid w:val="003B3CD1"/>
    <w:rsid w:val="003B40AD"/>
    <w:rsid w:val="003B5B78"/>
    <w:rsid w:val="003B5C68"/>
    <w:rsid w:val="003B6687"/>
    <w:rsid w:val="003B7158"/>
    <w:rsid w:val="003B76B2"/>
    <w:rsid w:val="003B7BBE"/>
    <w:rsid w:val="003C34AE"/>
    <w:rsid w:val="003C46B7"/>
    <w:rsid w:val="003C4E37"/>
    <w:rsid w:val="003C5490"/>
    <w:rsid w:val="003C6B4E"/>
    <w:rsid w:val="003C6C10"/>
    <w:rsid w:val="003C6F0B"/>
    <w:rsid w:val="003D1647"/>
    <w:rsid w:val="003D4169"/>
    <w:rsid w:val="003D636F"/>
    <w:rsid w:val="003D79E4"/>
    <w:rsid w:val="003E0433"/>
    <w:rsid w:val="003E0579"/>
    <w:rsid w:val="003E16BE"/>
    <w:rsid w:val="003E37DF"/>
    <w:rsid w:val="003E3A6E"/>
    <w:rsid w:val="003E49D9"/>
    <w:rsid w:val="003E5DD7"/>
    <w:rsid w:val="003E6A09"/>
    <w:rsid w:val="003E7579"/>
    <w:rsid w:val="003E7C37"/>
    <w:rsid w:val="003E7E4B"/>
    <w:rsid w:val="003F0AAC"/>
    <w:rsid w:val="003F1D25"/>
    <w:rsid w:val="003F4E28"/>
    <w:rsid w:val="003F6171"/>
    <w:rsid w:val="003F6852"/>
    <w:rsid w:val="003F6A3B"/>
    <w:rsid w:val="004006E8"/>
    <w:rsid w:val="00401855"/>
    <w:rsid w:val="004019F8"/>
    <w:rsid w:val="00403F18"/>
    <w:rsid w:val="004054EB"/>
    <w:rsid w:val="00410506"/>
    <w:rsid w:val="00413130"/>
    <w:rsid w:val="00414977"/>
    <w:rsid w:val="0041532F"/>
    <w:rsid w:val="00415364"/>
    <w:rsid w:val="00415677"/>
    <w:rsid w:val="0042000F"/>
    <w:rsid w:val="00420DB2"/>
    <w:rsid w:val="0042120B"/>
    <w:rsid w:val="00422200"/>
    <w:rsid w:val="0042287D"/>
    <w:rsid w:val="004231F6"/>
    <w:rsid w:val="0042366E"/>
    <w:rsid w:val="00425A72"/>
    <w:rsid w:val="00425BBE"/>
    <w:rsid w:val="00426626"/>
    <w:rsid w:val="00427957"/>
    <w:rsid w:val="00430579"/>
    <w:rsid w:val="00430855"/>
    <w:rsid w:val="00431245"/>
    <w:rsid w:val="00434E27"/>
    <w:rsid w:val="004354BF"/>
    <w:rsid w:val="00441847"/>
    <w:rsid w:val="004442FC"/>
    <w:rsid w:val="004465AE"/>
    <w:rsid w:val="004508A4"/>
    <w:rsid w:val="004512D0"/>
    <w:rsid w:val="00453373"/>
    <w:rsid w:val="00461272"/>
    <w:rsid w:val="0046409C"/>
    <w:rsid w:val="00464E6B"/>
    <w:rsid w:val="0046533E"/>
    <w:rsid w:val="00465587"/>
    <w:rsid w:val="0047161F"/>
    <w:rsid w:val="004719F9"/>
    <w:rsid w:val="004745E9"/>
    <w:rsid w:val="00474FAC"/>
    <w:rsid w:val="004750C4"/>
    <w:rsid w:val="0047519E"/>
    <w:rsid w:val="00475C98"/>
    <w:rsid w:val="00476C43"/>
    <w:rsid w:val="00477455"/>
    <w:rsid w:val="00480088"/>
    <w:rsid w:val="0048104D"/>
    <w:rsid w:val="00481822"/>
    <w:rsid w:val="00482629"/>
    <w:rsid w:val="0048279B"/>
    <w:rsid w:val="00483093"/>
    <w:rsid w:val="00483520"/>
    <w:rsid w:val="00486258"/>
    <w:rsid w:val="004871F4"/>
    <w:rsid w:val="004874F7"/>
    <w:rsid w:val="00491840"/>
    <w:rsid w:val="004920DA"/>
    <w:rsid w:val="0049373C"/>
    <w:rsid w:val="00494433"/>
    <w:rsid w:val="004949F9"/>
    <w:rsid w:val="00494F7B"/>
    <w:rsid w:val="004A1F7B"/>
    <w:rsid w:val="004A294E"/>
    <w:rsid w:val="004A3982"/>
    <w:rsid w:val="004A5646"/>
    <w:rsid w:val="004A7275"/>
    <w:rsid w:val="004B0574"/>
    <w:rsid w:val="004B0A87"/>
    <w:rsid w:val="004B2B5E"/>
    <w:rsid w:val="004B3687"/>
    <w:rsid w:val="004B5B15"/>
    <w:rsid w:val="004B6BCD"/>
    <w:rsid w:val="004B7C2E"/>
    <w:rsid w:val="004C0050"/>
    <w:rsid w:val="004C00F3"/>
    <w:rsid w:val="004C1DF2"/>
    <w:rsid w:val="004C22FF"/>
    <w:rsid w:val="004C3E93"/>
    <w:rsid w:val="004C405D"/>
    <w:rsid w:val="004C44D2"/>
    <w:rsid w:val="004C7E8C"/>
    <w:rsid w:val="004D2966"/>
    <w:rsid w:val="004D3202"/>
    <w:rsid w:val="004D3578"/>
    <w:rsid w:val="004D380D"/>
    <w:rsid w:val="004D7963"/>
    <w:rsid w:val="004E2004"/>
    <w:rsid w:val="004E213A"/>
    <w:rsid w:val="004E27D6"/>
    <w:rsid w:val="004E2F1A"/>
    <w:rsid w:val="004E4FD0"/>
    <w:rsid w:val="004E5FE1"/>
    <w:rsid w:val="004E690A"/>
    <w:rsid w:val="004E7209"/>
    <w:rsid w:val="004F0277"/>
    <w:rsid w:val="004F22D6"/>
    <w:rsid w:val="004F6504"/>
    <w:rsid w:val="0050016A"/>
    <w:rsid w:val="00502D90"/>
    <w:rsid w:val="00503171"/>
    <w:rsid w:val="0050468A"/>
    <w:rsid w:val="00504B88"/>
    <w:rsid w:val="00506C28"/>
    <w:rsid w:val="005111E1"/>
    <w:rsid w:val="00511CDA"/>
    <w:rsid w:val="0051245F"/>
    <w:rsid w:val="005129AF"/>
    <w:rsid w:val="00515FDE"/>
    <w:rsid w:val="00517422"/>
    <w:rsid w:val="0052028C"/>
    <w:rsid w:val="0052053B"/>
    <w:rsid w:val="00522478"/>
    <w:rsid w:val="00522CB0"/>
    <w:rsid w:val="00524A28"/>
    <w:rsid w:val="00524E84"/>
    <w:rsid w:val="005267E2"/>
    <w:rsid w:val="0052761A"/>
    <w:rsid w:val="00527D7E"/>
    <w:rsid w:val="00530A22"/>
    <w:rsid w:val="00534DA0"/>
    <w:rsid w:val="00535BAF"/>
    <w:rsid w:val="00535E16"/>
    <w:rsid w:val="005367AE"/>
    <w:rsid w:val="00540DBC"/>
    <w:rsid w:val="00540FE9"/>
    <w:rsid w:val="00543E6C"/>
    <w:rsid w:val="00544D42"/>
    <w:rsid w:val="00545493"/>
    <w:rsid w:val="00546591"/>
    <w:rsid w:val="00546997"/>
    <w:rsid w:val="005514D6"/>
    <w:rsid w:val="00551CC4"/>
    <w:rsid w:val="005544B6"/>
    <w:rsid w:val="0055735A"/>
    <w:rsid w:val="00561983"/>
    <w:rsid w:val="005627FE"/>
    <w:rsid w:val="00564C42"/>
    <w:rsid w:val="00565087"/>
    <w:rsid w:val="0056573F"/>
    <w:rsid w:val="00571170"/>
    <w:rsid w:val="00571279"/>
    <w:rsid w:val="0057440D"/>
    <w:rsid w:val="00577627"/>
    <w:rsid w:val="0057787F"/>
    <w:rsid w:val="00577BD5"/>
    <w:rsid w:val="00577BDA"/>
    <w:rsid w:val="0058121E"/>
    <w:rsid w:val="005817ED"/>
    <w:rsid w:val="00583349"/>
    <w:rsid w:val="00584C52"/>
    <w:rsid w:val="005856ED"/>
    <w:rsid w:val="005871DE"/>
    <w:rsid w:val="00595894"/>
    <w:rsid w:val="00595C93"/>
    <w:rsid w:val="005A0A0D"/>
    <w:rsid w:val="005A1213"/>
    <w:rsid w:val="005A13D4"/>
    <w:rsid w:val="005A1629"/>
    <w:rsid w:val="005A2ABD"/>
    <w:rsid w:val="005A31D5"/>
    <w:rsid w:val="005A3887"/>
    <w:rsid w:val="005A49C6"/>
    <w:rsid w:val="005A689D"/>
    <w:rsid w:val="005A6E10"/>
    <w:rsid w:val="005B36DA"/>
    <w:rsid w:val="005B3CA5"/>
    <w:rsid w:val="005C1B97"/>
    <w:rsid w:val="005C298B"/>
    <w:rsid w:val="005C2F90"/>
    <w:rsid w:val="005C36F1"/>
    <w:rsid w:val="005C5788"/>
    <w:rsid w:val="005C60F9"/>
    <w:rsid w:val="005D44E5"/>
    <w:rsid w:val="005D5E8E"/>
    <w:rsid w:val="005D644A"/>
    <w:rsid w:val="005D6E00"/>
    <w:rsid w:val="005E0F71"/>
    <w:rsid w:val="005E106F"/>
    <w:rsid w:val="005E1855"/>
    <w:rsid w:val="005E321B"/>
    <w:rsid w:val="005E40E1"/>
    <w:rsid w:val="005E492F"/>
    <w:rsid w:val="005E5997"/>
    <w:rsid w:val="005E6E1D"/>
    <w:rsid w:val="005E7050"/>
    <w:rsid w:val="005F3AD0"/>
    <w:rsid w:val="005F3CD0"/>
    <w:rsid w:val="005F4086"/>
    <w:rsid w:val="00600FE8"/>
    <w:rsid w:val="00602AEC"/>
    <w:rsid w:val="006030F8"/>
    <w:rsid w:val="00604E0D"/>
    <w:rsid w:val="00607E20"/>
    <w:rsid w:val="00611033"/>
    <w:rsid w:val="00611566"/>
    <w:rsid w:val="00611A4F"/>
    <w:rsid w:val="00613452"/>
    <w:rsid w:val="00613F66"/>
    <w:rsid w:val="00620F9B"/>
    <w:rsid w:val="00622E6D"/>
    <w:rsid w:val="00624BC1"/>
    <w:rsid w:val="00625A69"/>
    <w:rsid w:val="00627569"/>
    <w:rsid w:val="00627B20"/>
    <w:rsid w:val="00631877"/>
    <w:rsid w:val="00631CDA"/>
    <w:rsid w:val="00634109"/>
    <w:rsid w:val="006346F9"/>
    <w:rsid w:val="0064162D"/>
    <w:rsid w:val="0064295A"/>
    <w:rsid w:val="00642D05"/>
    <w:rsid w:val="006432E7"/>
    <w:rsid w:val="006440A0"/>
    <w:rsid w:val="00644801"/>
    <w:rsid w:val="00646D99"/>
    <w:rsid w:val="006537C8"/>
    <w:rsid w:val="00655372"/>
    <w:rsid w:val="00655773"/>
    <w:rsid w:val="00656217"/>
    <w:rsid w:val="00656910"/>
    <w:rsid w:val="006572DA"/>
    <w:rsid w:val="006574C0"/>
    <w:rsid w:val="0066086F"/>
    <w:rsid w:val="00661F4A"/>
    <w:rsid w:val="00662ACA"/>
    <w:rsid w:val="00664392"/>
    <w:rsid w:val="00667093"/>
    <w:rsid w:val="00667596"/>
    <w:rsid w:val="00670D17"/>
    <w:rsid w:val="00672061"/>
    <w:rsid w:val="006763A0"/>
    <w:rsid w:val="00676C12"/>
    <w:rsid w:val="00680425"/>
    <w:rsid w:val="00681658"/>
    <w:rsid w:val="00684DD2"/>
    <w:rsid w:val="00685A36"/>
    <w:rsid w:val="006915AF"/>
    <w:rsid w:val="00691B58"/>
    <w:rsid w:val="006925DD"/>
    <w:rsid w:val="00692B77"/>
    <w:rsid w:val="006938B3"/>
    <w:rsid w:val="00695F4A"/>
    <w:rsid w:val="006960D6"/>
    <w:rsid w:val="00696821"/>
    <w:rsid w:val="0069732F"/>
    <w:rsid w:val="006A0C87"/>
    <w:rsid w:val="006A1F18"/>
    <w:rsid w:val="006A5716"/>
    <w:rsid w:val="006A5867"/>
    <w:rsid w:val="006A5DF2"/>
    <w:rsid w:val="006A604F"/>
    <w:rsid w:val="006A6CE5"/>
    <w:rsid w:val="006B2760"/>
    <w:rsid w:val="006B38B5"/>
    <w:rsid w:val="006B4104"/>
    <w:rsid w:val="006B518E"/>
    <w:rsid w:val="006B6950"/>
    <w:rsid w:val="006B77FA"/>
    <w:rsid w:val="006B7D1C"/>
    <w:rsid w:val="006C0C3A"/>
    <w:rsid w:val="006C1268"/>
    <w:rsid w:val="006C1300"/>
    <w:rsid w:val="006C24F0"/>
    <w:rsid w:val="006C53FC"/>
    <w:rsid w:val="006C5633"/>
    <w:rsid w:val="006C6656"/>
    <w:rsid w:val="006C66D8"/>
    <w:rsid w:val="006C79DB"/>
    <w:rsid w:val="006D199F"/>
    <w:rsid w:val="006D1E24"/>
    <w:rsid w:val="006D21F5"/>
    <w:rsid w:val="006D35DE"/>
    <w:rsid w:val="006D3737"/>
    <w:rsid w:val="006D43F5"/>
    <w:rsid w:val="006D51E2"/>
    <w:rsid w:val="006D79BE"/>
    <w:rsid w:val="006E07F2"/>
    <w:rsid w:val="006E1417"/>
    <w:rsid w:val="006E303C"/>
    <w:rsid w:val="006E3AAA"/>
    <w:rsid w:val="006E459F"/>
    <w:rsid w:val="006E6719"/>
    <w:rsid w:val="006E6F4B"/>
    <w:rsid w:val="006E777B"/>
    <w:rsid w:val="006F05F7"/>
    <w:rsid w:val="006F0C72"/>
    <w:rsid w:val="006F0CCC"/>
    <w:rsid w:val="006F250F"/>
    <w:rsid w:val="006F2D96"/>
    <w:rsid w:val="006F36D5"/>
    <w:rsid w:val="006F38B5"/>
    <w:rsid w:val="006F5791"/>
    <w:rsid w:val="006F6A2C"/>
    <w:rsid w:val="006F7750"/>
    <w:rsid w:val="006F7A1E"/>
    <w:rsid w:val="00700AFF"/>
    <w:rsid w:val="00701338"/>
    <w:rsid w:val="00701FDC"/>
    <w:rsid w:val="007020A8"/>
    <w:rsid w:val="00702939"/>
    <w:rsid w:val="00703716"/>
    <w:rsid w:val="00703FC2"/>
    <w:rsid w:val="007047F9"/>
    <w:rsid w:val="007069DC"/>
    <w:rsid w:val="00707F29"/>
    <w:rsid w:val="00710201"/>
    <w:rsid w:val="00713A55"/>
    <w:rsid w:val="00713C43"/>
    <w:rsid w:val="00714BDF"/>
    <w:rsid w:val="0072073A"/>
    <w:rsid w:val="007237DD"/>
    <w:rsid w:val="00723F33"/>
    <w:rsid w:val="00724239"/>
    <w:rsid w:val="007242F6"/>
    <w:rsid w:val="007260C3"/>
    <w:rsid w:val="00727284"/>
    <w:rsid w:val="00727290"/>
    <w:rsid w:val="00730382"/>
    <w:rsid w:val="007317B0"/>
    <w:rsid w:val="007342B5"/>
    <w:rsid w:val="00734A5B"/>
    <w:rsid w:val="007352D8"/>
    <w:rsid w:val="007366EF"/>
    <w:rsid w:val="00741E2A"/>
    <w:rsid w:val="00744D15"/>
    <w:rsid w:val="00744E36"/>
    <w:rsid w:val="00744E76"/>
    <w:rsid w:val="00745320"/>
    <w:rsid w:val="00746840"/>
    <w:rsid w:val="00747299"/>
    <w:rsid w:val="00752E18"/>
    <w:rsid w:val="00753079"/>
    <w:rsid w:val="00755CE1"/>
    <w:rsid w:val="00756BF9"/>
    <w:rsid w:val="00757D40"/>
    <w:rsid w:val="007608A8"/>
    <w:rsid w:val="00761241"/>
    <w:rsid w:val="007624C3"/>
    <w:rsid w:val="007627BA"/>
    <w:rsid w:val="00764BAA"/>
    <w:rsid w:val="00764BE0"/>
    <w:rsid w:val="00764D60"/>
    <w:rsid w:val="007653D5"/>
    <w:rsid w:val="007662B5"/>
    <w:rsid w:val="00766C88"/>
    <w:rsid w:val="007743DD"/>
    <w:rsid w:val="00775388"/>
    <w:rsid w:val="00775F75"/>
    <w:rsid w:val="0077660B"/>
    <w:rsid w:val="00777058"/>
    <w:rsid w:val="0078191C"/>
    <w:rsid w:val="00781F0F"/>
    <w:rsid w:val="00783107"/>
    <w:rsid w:val="0078727C"/>
    <w:rsid w:val="0078786A"/>
    <w:rsid w:val="0079049D"/>
    <w:rsid w:val="007917C8"/>
    <w:rsid w:val="00792C92"/>
    <w:rsid w:val="00793DC5"/>
    <w:rsid w:val="0079611F"/>
    <w:rsid w:val="007967BA"/>
    <w:rsid w:val="00797870"/>
    <w:rsid w:val="007A4524"/>
    <w:rsid w:val="007A57BB"/>
    <w:rsid w:val="007B05D2"/>
    <w:rsid w:val="007B18D8"/>
    <w:rsid w:val="007B3CE1"/>
    <w:rsid w:val="007B49C8"/>
    <w:rsid w:val="007B4D3B"/>
    <w:rsid w:val="007B614E"/>
    <w:rsid w:val="007B662E"/>
    <w:rsid w:val="007C0752"/>
    <w:rsid w:val="007C095F"/>
    <w:rsid w:val="007C0C7F"/>
    <w:rsid w:val="007C2DD0"/>
    <w:rsid w:val="007C3D8D"/>
    <w:rsid w:val="007C4323"/>
    <w:rsid w:val="007C5553"/>
    <w:rsid w:val="007C6E51"/>
    <w:rsid w:val="007D01E6"/>
    <w:rsid w:val="007D19BF"/>
    <w:rsid w:val="007D1B9D"/>
    <w:rsid w:val="007D24D6"/>
    <w:rsid w:val="007D3B4A"/>
    <w:rsid w:val="007D4525"/>
    <w:rsid w:val="007D4734"/>
    <w:rsid w:val="007D4779"/>
    <w:rsid w:val="007D5DD6"/>
    <w:rsid w:val="007D5ED9"/>
    <w:rsid w:val="007D6E7A"/>
    <w:rsid w:val="007D6FD4"/>
    <w:rsid w:val="007D7229"/>
    <w:rsid w:val="007D785F"/>
    <w:rsid w:val="007E0B18"/>
    <w:rsid w:val="007E5445"/>
    <w:rsid w:val="007E6C3E"/>
    <w:rsid w:val="007E749E"/>
    <w:rsid w:val="007F03F0"/>
    <w:rsid w:val="007F0968"/>
    <w:rsid w:val="007F11A9"/>
    <w:rsid w:val="007F13DF"/>
    <w:rsid w:val="007F2E08"/>
    <w:rsid w:val="007F4FF8"/>
    <w:rsid w:val="007F50DE"/>
    <w:rsid w:val="0080178A"/>
    <w:rsid w:val="008026B1"/>
    <w:rsid w:val="008028A4"/>
    <w:rsid w:val="008041D7"/>
    <w:rsid w:val="00804F03"/>
    <w:rsid w:val="00805D4E"/>
    <w:rsid w:val="0080679C"/>
    <w:rsid w:val="00807017"/>
    <w:rsid w:val="00807C6A"/>
    <w:rsid w:val="00813245"/>
    <w:rsid w:val="0081507C"/>
    <w:rsid w:val="00815203"/>
    <w:rsid w:val="00816809"/>
    <w:rsid w:val="00816F1C"/>
    <w:rsid w:val="008205E3"/>
    <w:rsid w:val="00823DD0"/>
    <w:rsid w:val="0082477C"/>
    <w:rsid w:val="008258DC"/>
    <w:rsid w:val="00825A0E"/>
    <w:rsid w:val="00827687"/>
    <w:rsid w:val="00827C5D"/>
    <w:rsid w:val="00830114"/>
    <w:rsid w:val="00835666"/>
    <w:rsid w:val="00835A93"/>
    <w:rsid w:val="00835C75"/>
    <w:rsid w:val="008360E5"/>
    <w:rsid w:val="00837B55"/>
    <w:rsid w:val="00840B6F"/>
    <w:rsid w:val="00840D43"/>
    <w:rsid w:val="00840DE0"/>
    <w:rsid w:val="00842A5C"/>
    <w:rsid w:val="00843F38"/>
    <w:rsid w:val="00845683"/>
    <w:rsid w:val="0085211F"/>
    <w:rsid w:val="00853388"/>
    <w:rsid w:val="00854745"/>
    <w:rsid w:val="00855005"/>
    <w:rsid w:val="008573AE"/>
    <w:rsid w:val="0086354A"/>
    <w:rsid w:val="008649CE"/>
    <w:rsid w:val="00866F7B"/>
    <w:rsid w:val="008741F1"/>
    <w:rsid w:val="008759D0"/>
    <w:rsid w:val="008768CA"/>
    <w:rsid w:val="00877361"/>
    <w:rsid w:val="00877868"/>
    <w:rsid w:val="00877EF9"/>
    <w:rsid w:val="00880559"/>
    <w:rsid w:val="008818EE"/>
    <w:rsid w:val="00881D76"/>
    <w:rsid w:val="00882851"/>
    <w:rsid w:val="0088380E"/>
    <w:rsid w:val="00883A49"/>
    <w:rsid w:val="008844DB"/>
    <w:rsid w:val="00884989"/>
    <w:rsid w:val="00886A47"/>
    <w:rsid w:val="00886B9F"/>
    <w:rsid w:val="00887906"/>
    <w:rsid w:val="00891CD8"/>
    <w:rsid w:val="00892162"/>
    <w:rsid w:val="00892907"/>
    <w:rsid w:val="00894948"/>
    <w:rsid w:val="008A09D6"/>
    <w:rsid w:val="008A1B79"/>
    <w:rsid w:val="008A1E64"/>
    <w:rsid w:val="008A2D2A"/>
    <w:rsid w:val="008A5371"/>
    <w:rsid w:val="008A6178"/>
    <w:rsid w:val="008B0302"/>
    <w:rsid w:val="008B2006"/>
    <w:rsid w:val="008B31D7"/>
    <w:rsid w:val="008B3C76"/>
    <w:rsid w:val="008B447D"/>
    <w:rsid w:val="008B51F8"/>
    <w:rsid w:val="008B5306"/>
    <w:rsid w:val="008B578E"/>
    <w:rsid w:val="008B66E1"/>
    <w:rsid w:val="008B703A"/>
    <w:rsid w:val="008C0080"/>
    <w:rsid w:val="008C059E"/>
    <w:rsid w:val="008C09E4"/>
    <w:rsid w:val="008C0EC9"/>
    <w:rsid w:val="008C23FD"/>
    <w:rsid w:val="008C2E2A"/>
    <w:rsid w:val="008C3057"/>
    <w:rsid w:val="008C348F"/>
    <w:rsid w:val="008C3B1C"/>
    <w:rsid w:val="008C4650"/>
    <w:rsid w:val="008C49F3"/>
    <w:rsid w:val="008C5278"/>
    <w:rsid w:val="008C55C7"/>
    <w:rsid w:val="008C72CF"/>
    <w:rsid w:val="008C79BC"/>
    <w:rsid w:val="008D0470"/>
    <w:rsid w:val="008D2E4D"/>
    <w:rsid w:val="008D3B65"/>
    <w:rsid w:val="008D3CDE"/>
    <w:rsid w:val="008E00C8"/>
    <w:rsid w:val="008E06BE"/>
    <w:rsid w:val="008E536C"/>
    <w:rsid w:val="008F0F06"/>
    <w:rsid w:val="008F126D"/>
    <w:rsid w:val="008F17C0"/>
    <w:rsid w:val="008F28C0"/>
    <w:rsid w:val="008F2F39"/>
    <w:rsid w:val="008F396F"/>
    <w:rsid w:val="008F3DCD"/>
    <w:rsid w:val="008F589A"/>
    <w:rsid w:val="008F5D9F"/>
    <w:rsid w:val="008F6740"/>
    <w:rsid w:val="008F6A90"/>
    <w:rsid w:val="008F7091"/>
    <w:rsid w:val="009021A1"/>
    <w:rsid w:val="0090271F"/>
    <w:rsid w:val="00902DB9"/>
    <w:rsid w:val="00903517"/>
    <w:rsid w:val="0090466A"/>
    <w:rsid w:val="00905E2B"/>
    <w:rsid w:val="009130D6"/>
    <w:rsid w:val="00913284"/>
    <w:rsid w:val="00913987"/>
    <w:rsid w:val="00913D80"/>
    <w:rsid w:val="00915983"/>
    <w:rsid w:val="00916923"/>
    <w:rsid w:val="0091700F"/>
    <w:rsid w:val="00917D54"/>
    <w:rsid w:val="00920E46"/>
    <w:rsid w:val="00922772"/>
    <w:rsid w:val="00922BBE"/>
    <w:rsid w:val="00923655"/>
    <w:rsid w:val="00925F47"/>
    <w:rsid w:val="009262EE"/>
    <w:rsid w:val="00930291"/>
    <w:rsid w:val="0093219A"/>
    <w:rsid w:val="00933D29"/>
    <w:rsid w:val="00934701"/>
    <w:rsid w:val="00935436"/>
    <w:rsid w:val="00936071"/>
    <w:rsid w:val="00936F89"/>
    <w:rsid w:val="009376CD"/>
    <w:rsid w:val="00940212"/>
    <w:rsid w:val="009414B4"/>
    <w:rsid w:val="00941C21"/>
    <w:rsid w:val="00942CB1"/>
    <w:rsid w:val="00942EC2"/>
    <w:rsid w:val="00944998"/>
    <w:rsid w:val="00945A5E"/>
    <w:rsid w:val="00946B7C"/>
    <w:rsid w:val="00947C49"/>
    <w:rsid w:val="00947FE2"/>
    <w:rsid w:val="00951917"/>
    <w:rsid w:val="00953B80"/>
    <w:rsid w:val="00954241"/>
    <w:rsid w:val="00954A45"/>
    <w:rsid w:val="009555A7"/>
    <w:rsid w:val="00955BA9"/>
    <w:rsid w:val="009561F3"/>
    <w:rsid w:val="00957D77"/>
    <w:rsid w:val="00961B32"/>
    <w:rsid w:val="00962509"/>
    <w:rsid w:val="00962F58"/>
    <w:rsid w:val="00964568"/>
    <w:rsid w:val="00965B44"/>
    <w:rsid w:val="00965EFF"/>
    <w:rsid w:val="00967172"/>
    <w:rsid w:val="00970DB3"/>
    <w:rsid w:val="00971169"/>
    <w:rsid w:val="00972AA4"/>
    <w:rsid w:val="0097318C"/>
    <w:rsid w:val="00973CDC"/>
    <w:rsid w:val="00974BB0"/>
    <w:rsid w:val="00975BCD"/>
    <w:rsid w:val="0097619A"/>
    <w:rsid w:val="00976EAD"/>
    <w:rsid w:val="00977956"/>
    <w:rsid w:val="009837AE"/>
    <w:rsid w:val="00987476"/>
    <w:rsid w:val="00990226"/>
    <w:rsid w:val="009911F9"/>
    <w:rsid w:val="009928A9"/>
    <w:rsid w:val="009933FF"/>
    <w:rsid w:val="00994B05"/>
    <w:rsid w:val="00995095"/>
    <w:rsid w:val="00997C4E"/>
    <w:rsid w:val="009A0AF3"/>
    <w:rsid w:val="009A216C"/>
    <w:rsid w:val="009A266B"/>
    <w:rsid w:val="009A48BA"/>
    <w:rsid w:val="009B07CB"/>
    <w:rsid w:val="009B07CD"/>
    <w:rsid w:val="009B172A"/>
    <w:rsid w:val="009B1CAF"/>
    <w:rsid w:val="009B629A"/>
    <w:rsid w:val="009B6FCB"/>
    <w:rsid w:val="009C0FE7"/>
    <w:rsid w:val="009C19E9"/>
    <w:rsid w:val="009C2931"/>
    <w:rsid w:val="009C3992"/>
    <w:rsid w:val="009C547C"/>
    <w:rsid w:val="009C57D9"/>
    <w:rsid w:val="009C7F6F"/>
    <w:rsid w:val="009D06F5"/>
    <w:rsid w:val="009D0C32"/>
    <w:rsid w:val="009D1030"/>
    <w:rsid w:val="009D1EFF"/>
    <w:rsid w:val="009D2DC6"/>
    <w:rsid w:val="009D38A5"/>
    <w:rsid w:val="009D3ABC"/>
    <w:rsid w:val="009D3F12"/>
    <w:rsid w:val="009D5014"/>
    <w:rsid w:val="009D523E"/>
    <w:rsid w:val="009D74A6"/>
    <w:rsid w:val="009D7646"/>
    <w:rsid w:val="009D7E3F"/>
    <w:rsid w:val="009E0AB3"/>
    <w:rsid w:val="009E0E87"/>
    <w:rsid w:val="009E15DD"/>
    <w:rsid w:val="009E2FC9"/>
    <w:rsid w:val="009E41A6"/>
    <w:rsid w:val="009E5C6D"/>
    <w:rsid w:val="009E73AC"/>
    <w:rsid w:val="009E773C"/>
    <w:rsid w:val="009E7D4A"/>
    <w:rsid w:val="009E7D87"/>
    <w:rsid w:val="009F2DE2"/>
    <w:rsid w:val="009F45AE"/>
    <w:rsid w:val="009F572B"/>
    <w:rsid w:val="009F728C"/>
    <w:rsid w:val="00A004EA"/>
    <w:rsid w:val="00A02ACB"/>
    <w:rsid w:val="00A04620"/>
    <w:rsid w:val="00A05C67"/>
    <w:rsid w:val="00A06232"/>
    <w:rsid w:val="00A06F66"/>
    <w:rsid w:val="00A078D1"/>
    <w:rsid w:val="00A07EE0"/>
    <w:rsid w:val="00A10668"/>
    <w:rsid w:val="00A10F02"/>
    <w:rsid w:val="00A126AC"/>
    <w:rsid w:val="00A149D4"/>
    <w:rsid w:val="00A203BA"/>
    <w:rsid w:val="00A204CA"/>
    <w:rsid w:val="00A209D6"/>
    <w:rsid w:val="00A21EB5"/>
    <w:rsid w:val="00A22738"/>
    <w:rsid w:val="00A22BDD"/>
    <w:rsid w:val="00A237DE"/>
    <w:rsid w:val="00A25DDC"/>
    <w:rsid w:val="00A269E3"/>
    <w:rsid w:val="00A26CB1"/>
    <w:rsid w:val="00A30196"/>
    <w:rsid w:val="00A347F9"/>
    <w:rsid w:val="00A374B7"/>
    <w:rsid w:val="00A41F31"/>
    <w:rsid w:val="00A43F4E"/>
    <w:rsid w:val="00A45BE0"/>
    <w:rsid w:val="00A46477"/>
    <w:rsid w:val="00A47A1E"/>
    <w:rsid w:val="00A50389"/>
    <w:rsid w:val="00A527D4"/>
    <w:rsid w:val="00A53724"/>
    <w:rsid w:val="00A543A1"/>
    <w:rsid w:val="00A54B2B"/>
    <w:rsid w:val="00A56B26"/>
    <w:rsid w:val="00A5761E"/>
    <w:rsid w:val="00A61C33"/>
    <w:rsid w:val="00A61EE0"/>
    <w:rsid w:val="00A63699"/>
    <w:rsid w:val="00A6418E"/>
    <w:rsid w:val="00A649C7"/>
    <w:rsid w:val="00A65785"/>
    <w:rsid w:val="00A670D4"/>
    <w:rsid w:val="00A717E5"/>
    <w:rsid w:val="00A71FEC"/>
    <w:rsid w:val="00A737F2"/>
    <w:rsid w:val="00A76712"/>
    <w:rsid w:val="00A81405"/>
    <w:rsid w:val="00A82346"/>
    <w:rsid w:val="00A83092"/>
    <w:rsid w:val="00A83D87"/>
    <w:rsid w:val="00A84017"/>
    <w:rsid w:val="00A84090"/>
    <w:rsid w:val="00A84308"/>
    <w:rsid w:val="00A855FF"/>
    <w:rsid w:val="00A92DF0"/>
    <w:rsid w:val="00A9497F"/>
    <w:rsid w:val="00A9671C"/>
    <w:rsid w:val="00A96B96"/>
    <w:rsid w:val="00A97FF7"/>
    <w:rsid w:val="00AA0F81"/>
    <w:rsid w:val="00AA1553"/>
    <w:rsid w:val="00AA4218"/>
    <w:rsid w:val="00AA4693"/>
    <w:rsid w:val="00AA7967"/>
    <w:rsid w:val="00AB126E"/>
    <w:rsid w:val="00AB2CA2"/>
    <w:rsid w:val="00AB403E"/>
    <w:rsid w:val="00AB5C57"/>
    <w:rsid w:val="00AC074B"/>
    <w:rsid w:val="00AC0AB4"/>
    <w:rsid w:val="00AC0B19"/>
    <w:rsid w:val="00AC254C"/>
    <w:rsid w:val="00AC47D4"/>
    <w:rsid w:val="00AC554C"/>
    <w:rsid w:val="00AD1275"/>
    <w:rsid w:val="00AD1A2A"/>
    <w:rsid w:val="00AD3DF3"/>
    <w:rsid w:val="00AD5588"/>
    <w:rsid w:val="00AE1563"/>
    <w:rsid w:val="00AE196D"/>
    <w:rsid w:val="00AE308D"/>
    <w:rsid w:val="00AE48E4"/>
    <w:rsid w:val="00AE5DD5"/>
    <w:rsid w:val="00AE645D"/>
    <w:rsid w:val="00AE74C5"/>
    <w:rsid w:val="00AF05FD"/>
    <w:rsid w:val="00AF2929"/>
    <w:rsid w:val="00AF2B04"/>
    <w:rsid w:val="00AF3FC8"/>
    <w:rsid w:val="00AF62F9"/>
    <w:rsid w:val="00AF6DA2"/>
    <w:rsid w:val="00AF7C3D"/>
    <w:rsid w:val="00B01BFD"/>
    <w:rsid w:val="00B0254D"/>
    <w:rsid w:val="00B05380"/>
    <w:rsid w:val="00B05962"/>
    <w:rsid w:val="00B07422"/>
    <w:rsid w:val="00B100E1"/>
    <w:rsid w:val="00B11317"/>
    <w:rsid w:val="00B120F8"/>
    <w:rsid w:val="00B124B7"/>
    <w:rsid w:val="00B1289C"/>
    <w:rsid w:val="00B13371"/>
    <w:rsid w:val="00B137DD"/>
    <w:rsid w:val="00B14214"/>
    <w:rsid w:val="00B15449"/>
    <w:rsid w:val="00B16C2F"/>
    <w:rsid w:val="00B1759B"/>
    <w:rsid w:val="00B17729"/>
    <w:rsid w:val="00B2201A"/>
    <w:rsid w:val="00B24288"/>
    <w:rsid w:val="00B25B08"/>
    <w:rsid w:val="00B25DBA"/>
    <w:rsid w:val="00B26008"/>
    <w:rsid w:val="00B27303"/>
    <w:rsid w:val="00B3083E"/>
    <w:rsid w:val="00B30854"/>
    <w:rsid w:val="00B33179"/>
    <w:rsid w:val="00B33B6C"/>
    <w:rsid w:val="00B347DA"/>
    <w:rsid w:val="00B360A4"/>
    <w:rsid w:val="00B374D5"/>
    <w:rsid w:val="00B44246"/>
    <w:rsid w:val="00B476A7"/>
    <w:rsid w:val="00B47C77"/>
    <w:rsid w:val="00B47FD1"/>
    <w:rsid w:val="00B512D8"/>
    <w:rsid w:val="00B513DF"/>
    <w:rsid w:val="00B515DA"/>
    <w:rsid w:val="00B516BB"/>
    <w:rsid w:val="00B5303E"/>
    <w:rsid w:val="00B544D7"/>
    <w:rsid w:val="00B54AF7"/>
    <w:rsid w:val="00B550C2"/>
    <w:rsid w:val="00B5537B"/>
    <w:rsid w:val="00B57765"/>
    <w:rsid w:val="00B60656"/>
    <w:rsid w:val="00B65096"/>
    <w:rsid w:val="00B673D7"/>
    <w:rsid w:val="00B7328B"/>
    <w:rsid w:val="00B73991"/>
    <w:rsid w:val="00B758C7"/>
    <w:rsid w:val="00B76553"/>
    <w:rsid w:val="00B805A3"/>
    <w:rsid w:val="00B80AFC"/>
    <w:rsid w:val="00B81F0C"/>
    <w:rsid w:val="00B837C4"/>
    <w:rsid w:val="00B8454A"/>
    <w:rsid w:val="00B84DB2"/>
    <w:rsid w:val="00B90019"/>
    <w:rsid w:val="00B9011C"/>
    <w:rsid w:val="00B90B54"/>
    <w:rsid w:val="00B9163E"/>
    <w:rsid w:val="00B92731"/>
    <w:rsid w:val="00B93C6C"/>
    <w:rsid w:val="00B94609"/>
    <w:rsid w:val="00BA02ED"/>
    <w:rsid w:val="00BA0666"/>
    <w:rsid w:val="00BA0D3A"/>
    <w:rsid w:val="00BA21B1"/>
    <w:rsid w:val="00BA425F"/>
    <w:rsid w:val="00BA71FF"/>
    <w:rsid w:val="00BA73D2"/>
    <w:rsid w:val="00BA7621"/>
    <w:rsid w:val="00BA76C0"/>
    <w:rsid w:val="00BB07FE"/>
    <w:rsid w:val="00BB17EE"/>
    <w:rsid w:val="00BB1B6E"/>
    <w:rsid w:val="00BB1CE1"/>
    <w:rsid w:val="00BB3F6B"/>
    <w:rsid w:val="00BB43E4"/>
    <w:rsid w:val="00BB644A"/>
    <w:rsid w:val="00BB7B82"/>
    <w:rsid w:val="00BC1E0D"/>
    <w:rsid w:val="00BC1FB0"/>
    <w:rsid w:val="00BC25B4"/>
    <w:rsid w:val="00BC3555"/>
    <w:rsid w:val="00BC37A7"/>
    <w:rsid w:val="00BC3990"/>
    <w:rsid w:val="00BC3FD6"/>
    <w:rsid w:val="00BC51BB"/>
    <w:rsid w:val="00BC69BC"/>
    <w:rsid w:val="00BC78DE"/>
    <w:rsid w:val="00BD08FA"/>
    <w:rsid w:val="00BD0F4D"/>
    <w:rsid w:val="00BD18AE"/>
    <w:rsid w:val="00BD3381"/>
    <w:rsid w:val="00BD36D7"/>
    <w:rsid w:val="00BD5CE2"/>
    <w:rsid w:val="00BD6092"/>
    <w:rsid w:val="00BD60C8"/>
    <w:rsid w:val="00BD6FC0"/>
    <w:rsid w:val="00BD70CD"/>
    <w:rsid w:val="00BD70D4"/>
    <w:rsid w:val="00BE033E"/>
    <w:rsid w:val="00BE0B03"/>
    <w:rsid w:val="00BE0C1C"/>
    <w:rsid w:val="00BE0F97"/>
    <w:rsid w:val="00BE3BCA"/>
    <w:rsid w:val="00BF00C7"/>
    <w:rsid w:val="00BF0799"/>
    <w:rsid w:val="00BF217F"/>
    <w:rsid w:val="00BF2218"/>
    <w:rsid w:val="00BF2EC5"/>
    <w:rsid w:val="00BF5643"/>
    <w:rsid w:val="00BF62C0"/>
    <w:rsid w:val="00BF7762"/>
    <w:rsid w:val="00C00A88"/>
    <w:rsid w:val="00C00CBE"/>
    <w:rsid w:val="00C00FFF"/>
    <w:rsid w:val="00C03F9B"/>
    <w:rsid w:val="00C0573C"/>
    <w:rsid w:val="00C05C32"/>
    <w:rsid w:val="00C0789E"/>
    <w:rsid w:val="00C07AC8"/>
    <w:rsid w:val="00C102F4"/>
    <w:rsid w:val="00C1054B"/>
    <w:rsid w:val="00C12B51"/>
    <w:rsid w:val="00C13641"/>
    <w:rsid w:val="00C14034"/>
    <w:rsid w:val="00C1421D"/>
    <w:rsid w:val="00C156A5"/>
    <w:rsid w:val="00C16247"/>
    <w:rsid w:val="00C176EB"/>
    <w:rsid w:val="00C22F3A"/>
    <w:rsid w:val="00C24650"/>
    <w:rsid w:val="00C25465"/>
    <w:rsid w:val="00C262EB"/>
    <w:rsid w:val="00C272AB"/>
    <w:rsid w:val="00C30B26"/>
    <w:rsid w:val="00C316D9"/>
    <w:rsid w:val="00C31A2A"/>
    <w:rsid w:val="00C33079"/>
    <w:rsid w:val="00C3471D"/>
    <w:rsid w:val="00C34918"/>
    <w:rsid w:val="00C34C5F"/>
    <w:rsid w:val="00C413D5"/>
    <w:rsid w:val="00C4158F"/>
    <w:rsid w:val="00C42A6E"/>
    <w:rsid w:val="00C42FF2"/>
    <w:rsid w:val="00C43883"/>
    <w:rsid w:val="00C44A6F"/>
    <w:rsid w:val="00C4553A"/>
    <w:rsid w:val="00C4659F"/>
    <w:rsid w:val="00C47968"/>
    <w:rsid w:val="00C5133E"/>
    <w:rsid w:val="00C5224D"/>
    <w:rsid w:val="00C52ED4"/>
    <w:rsid w:val="00C57FF7"/>
    <w:rsid w:val="00C61AC9"/>
    <w:rsid w:val="00C6231A"/>
    <w:rsid w:val="00C645BD"/>
    <w:rsid w:val="00C64B8B"/>
    <w:rsid w:val="00C6553E"/>
    <w:rsid w:val="00C65DCE"/>
    <w:rsid w:val="00C70D5B"/>
    <w:rsid w:val="00C7159F"/>
    <w:rsid w:val="00C72377"/>
    <w:rsid w:val="00C72617"/>
    <w:rsid w:val="00C736A5"/>
    <w:rsid w:val="00C7466B"/>
    <w:rsid w:val="00C777E1"/>
    <w:rsid w:val="00C80B4C"/>
    <w:rsid w:val="00C815F2"/>
    <w:rsid w:val="00C826ED"/>
    <w:rsid w:val="00C8395F"/>
    <w:rsid w:val="00C83A13"/>
    <w:rsid w:val="00C864CA"/>
    <w:rsid w:val="00C87591"/>
    <w:rsid w:val="00C9068C"/>
    <w:rsid w:val="00C92967"/>
    <w:rsid w:val="00C95000"/>
    <w:rsid w:val="00C951AE"/>
    <w:rsid w:val="00C96AA9"/>
    <w:rsid w:val="00C96D4C"/>
    <w:rsid w:val="00C9743B"/>
    <w:rsid w:val="00CA1C1D"/>
    <w:rsid w:val="00CA1D56"/>
    <w:rsid w:val="00CA2759"/>
    <w:rsid w:val="00CA3D0C"/>
    <w:rsid w:val="00CA63A1"/>
    <w:rsid w:val="00CA654B"/>
    <w:rsid w:val="00CB0554"/>
    <w:rsid w:val="00CB17DF"/>
    <w:rsid w:val="00CB28CA"/>
    <w:rsid w:val="00CB468C"/>
    <w:rsid w:val="00CB5F30"/>
    <w:rsid w:val="00CB6268"/>
    <w:rsid w:val="00CB6771"/>
    <w:rsid w:val="00CB6CE0"/>
    <w:rsid w:val="00CB72B8"/>
    <w:rsid w:val="00CC1944"/>
    <w:rsid w:val="00CC7DF2"/>
    <w:rsid w:val="00CD0229"/>
    <w:rsid w:val="00CD0C59"/>
    <w:rsid w:val="00CD2BB6"/>
    <w:rsid w:val="00CD337C"/>
    <w:rsid w:val="00CD3DDC"/>
    <w:rsid w:val="00CD4C7B"/>
    <w:rsid w:val="00CD55B4"/>
    <w:rsid w:val="00CD58FE"/>
    <w:rsid w:val="00CD7FBD"/>
    <w:rsid w:val="00CE0740"/>
    <w:rsid w:val="00CE1C3A"/>
    <w:rsid w:val="00CE25B4"/>
    <w:rsid w:val="00CE27EA"/>
    <w:rsid w:val="00CE42F0"/>
    <w:rsid w:val="00CE474E"/>
    <w:rsid w:val="00CE55BF"/>
    <w:rsid w:val="00CE796B"/>
    <w:rsid w:val="00CF1484"/>
    <w:rsid w:val="00CF170F"/>
    <w:rsid w:val="00CF6092"/>
    <w:rsid w:val="00CF7072"/>
    <w:rsid w:val="00D05A56"/>
    <w:rsid w:val="00D066E9"/>
    <w:rsid w:val="00D069E9"/>
    <w:rsid w:val="00D075E5"/>
    <w:rsid w:val="00D12850"/>
    <w:rsid w:val="00D12D42"/>
    <w:rsid w:val="00D13696"/>
    <w:rsid w:val="00D14651"/>
    <w:rsid w:val="00D16639"/>
    <w:rsid w:val="00D16E46"/>
    <w:rsid w:val="00D202A7"/>
    <w:rsid w:val="00D205E1"/>
    <w:rsid w:val="00D212C3"/>
    <w:rsid w:val="00D223D5"/>
    <w:rsid w:val="00D25029"/>
    <w:rsid w:val="00D2536E"/>
    <w:rsid w:val="00D320AF"/>
    <w:rsid w:val="00D33BE3"/>
    <w:rsid w:val="00D34684"/>
    <w:rsid w:val="00D35483"/>
    <w:rsid w:val="00D362EF"/>
    <w:rsid w:val="00D364D1"/>
    <w:rsid w:val="00D3792D"/>
    <w:rsid w:val="00D41854"/>
    <w:rsid w:val="00D41D3A"/>
    <w:rsid w:val="00D41F56"/>
    <w:rsid w:val="00D4342D"/>
    <w:rsid w:val="00D4346D"/>
    <w:rsid w:val="00D43B6D"/>
    <w:rsid w:val="00D43D2A"/>
    <w:rsid w:val="00D45562"/>
    <w:rsid w:val="00D45AF4"/>
    <w:rsid w:val="00D471AC"/>
    <w:rsid w:val="00D50D53"/>
    <w:rsid w:val="00D520E3"/>
    <w:rsid w:val="00D52EB9"/>
    <w:rsid w:val="00D53BA0"/>
    <w:rsid w:val="00D54300"/>
    <w:rsid w:val="00D553B0"/>
    <w:rsid w:val="00D55C7C"/>
    <w:rsid w:val="00D55E47"/>
    <w:rsid w:val="00D5612F"/>
    <w:rsid w:val="00D6247D"/>
    <w:rsid w:val="00D62E19"/>
    <w:rsid w:val="00D6327F"/>
    <w:rsid w:val="00D63689"/>
    <w:rsid w:val="00D64541"/>
    <w:rsid w:val="00D651DC"/>
    <w:rsid w:val="00D65BA1"/>
    <w:rsid w:val="00D6773D"/>
    <w:rsid w:val="00D67CD1"/>
    <w:rsid w:val="00D67E0F"/>
    <w:rsid w:val="00D706E3"/>
    <w:rsid w:val="00D728B5"/>
    <w:rsid w:val="00D73842"/>
    <w:rsid w:val="00D738D6"/>
    <w:rsid w:val="00D751B4"/>
    <w:rsid w:val="00D7576F"/>
    <w:rsid w:val="00D75C8A"/>
    <w:rsid w:val="00D77A04"/>
    <w:rsid w:val="00D77C1A"/>
    <w:rsid w:val="00D80795"/>
    <w:rsid w:val="00D83613"/>
    <w:rsid w:val="00D854BE"/>
    <w:rsid w:val="00D8703F"/>
    <w:rsid w:val="00D87E00"/>
    <w:rsid w:val="00D904A5"/>
    <w:rsid w:val="00D9134D"/>
    <w:rsid w:val="00D96D11"/>
    <w:rsid w:val="00DA113D"/>
    <w:rsid w:val="00DA1223"/>
    <w:rsid w:val="00DA20AF"/>
    <w:rsid w:val="00DA223C"/>
    <w:rsid w:val="00DA2531"/>
    <w:rsid w:val="00DA2E24"/>
    <w:rsid w:val="00DA3A37"/>
    <w:rsid w:val="00DA45E1"/>
    <w:rsid w:val="00DA6B24"/>
    <w:rsid w:val="00DA7A03"/>
    <w:rsid w:val="00DB0368"/>
    <w:rsid w:val="00DB0DB8"/>
    <w:rsid w:val="00DB1818"/>
    <w:rsid w:val="00DB1A65"/>
    <w:rsid w:val="00DB2583"/>
    <w:rsid w:val="00DB3831"/>
    <w:rsid w:val="00DB410C"/>
    <w:rsid w:val="00DB648D"/>
    <w:rsid w:val="00DB7651"/>
    <w:rsid w:val="00DC0471"/>
    <w:rsid w:val="00DC1155"/>
    <w:rsid w:val="00DC309B"/>
    <w:rsid w:val="00DC3646"/>
    <w:rsid w:val="00DC3BDA"/>
    <w:rsid w:val="00DC4DA2"/>
    <w:rsid w:val="00DC5261"/>
    <w:rsid w:val="00DC6048"/>
    <w:rsid w:val="00DC638B"/>
    <w:rsid w:val="00DC64F9"/>
    <w:rsid w:val="00DC7E7D"/>
    <w:rsid w:val="00DD140A"/>
    <w:rsid w:val="00DD4AF1"/>
    <w:rsid w:val="00DD51A8"/>
    <w:rsid w:val="00DE204A"/>
    <w:rsid w:val="00DE25D2"/>
    <w:rsid w:val="00DE2B84"/>
    <w:rsid w:val="00DE38AE"/>
    <w:rsid w:val="00DE4F5C"/>
    <w:rsid w:val="00DE525D"/>
    <w:rsid w:val="00DE5504"/>
    <w:rsid w:val="00DE5EFC"/>
    <w:rsid w:val="00DE7C70"/>
    <w:rsid w:val="00DF2C00"/>
    <w:rsid w:val="00DF2EB1"/>
    <w:rsid w:val="00DF5691"/>
    <w:rsid w:val="00DF569E"/>
    <w:rsid w:val="00DF5704"/>
    <w:rsid w:val="00DF6373"/>
    <w:rsid w:val="00E0270C"/>
    <w:rsid w:val="00E04623"/>
    <w:rsid w:val="00E04CA0"/>
    <w:rsid w:val="00E05E93"/>
    <w:rsid w:val="00E073FE"/>
    <w:rsid w:val="00E1184A"/>
    <w:rsid w:val="00E12CEE"/>
    <w:rsid w:val="00E15E7C"/>
    <w:rsid w:val="00E16A1F"/>
    <w:rsid w:val="00E17C16"/>
    <w:rsid w:val="00E208FD"/>
    <w:rsid w:val="00E23122"/>
    <w:rsid w:val="00E24884"/>
    <w:rsid w:val="00E24E38"/>
    <w:rsid w:val="00E25A24"/>
    <w:rsid w:val="00E27801"/>
    <w:rsid w:val="00E27C66"/>
    <w:rsid w:val="00E306FA"/>
    <w:rsid w:val="00E31695"/>
    <w:rsid w:val="00E321EE"/>
    <w:rsid w:val="00E32A85"/>
    <w:rsid w:val="00E33710"/>
    <w:rsid w:val="00E372E2"/>
    <w:rsid w:val="00E37C6F"/>
    <w:rsid w:val="00E37F3C"/>
    <w:rsid w:val="00E40A14"/>
    <w:rsid w:val="00E41C12"/>
    <w:rsid w:val="00E43457"/>
    <w:rsid w:val="00E4496A"/>
    <w:rsid w:val="00E44A84"/>
    <w:rsid w:val="00E44CBB"/>
    <w:rsid w:val="00E456FB"/>
    <w:rsid w:val="00E45F95"/>
    <w:rsid w:val="00E46C08"/>
    <w:rsid w:val="00E46F6A"/>
    <w:rsid w:val="00E471CF"/>
    <w:rsid w:val="00E5310A"/>
    <w:rsid w:val="00E54AA0"/>
    <w:rsid w:val="00E56E63"/>
    <w:rsid w:val="00E56EDF"/>
    <w:rsid w:val="00E604B7"/>
    <w:rsid w:val="00E6122A"/>
    <w:rsid w:val="00E61684"/>
    <w:rsid w:val="00E621DE"/>
    <w:rsid w:val="00E62598"/>
    <w:rsid w:val="00E62835"/>
    <w:rsid w:val="00E63E4E"/>
    <w:rsid w:val="00E64E5E"/>
    <w:rsid w:val="00E71F86"/>
    <w:rsid w:val="00E745FB"/>
    <w:rsid w:val="00E7621D"/>
    <w:rsid w:val="00E76C14"/>
    <w:rsid w:val="00E77645"/>
    <w:rsid w:val="00E77D77"/>
    <w:rsid w:val="00E80E20"/>
    <w:rsid w:val="00E81676"/>
    <w:rsid w:val="00E824FB"/>
    <w:rsid w:val="00E83697"/>
    <w:rsid w:val="00E83EA3"/>
    <w:rsid w:val="00E843F0"/>
    <w:rsid w:val="00E84987"/>
    <w:rsid w:val="00E867BB"/>
    <w:rsid w:val="00E90BFA"/>
    <w:rsid w:val="00E92A5F"/>
    <w:rsid w:val="00E944C9"/>
    <w:rsid w:val="00E9618A"/>
    <w:rsid w:val="00E968FC"/>
    <w:rsid w:val="00E9696A"/>
    <w:rsid w:val="00E969D6"/>
    <w:rsid w:val="00E9754A"/>
    <w:rsid w:val="00E97FC3"/>
    <w:rsid w:val="00EA1FFB"/>
    <w:rsid w:val="00EA295E"/>
    <w:rsid w:val="00EA4744"/>
    <w:rsid w:val="00EA514E"/>
    <w:rsid w:val="00EA55FE"/>
    <w:rsid w:val="00EA66C9"/>
    <w:rsid w:val="00EA727A"/>
    <w:rsid w:val="00EB281D"/>
    <w:rsid w:val="00EB308C"/>
    <w:rsid w:val="00EB39B1"/>
    <w:rsid w:val="00EB43CB"/>
    <w:rsid w:val="00EB483C"/>
    <w:rsid w:val="00EB4BBB"/>
    <w:rsid w:val="00EB4FD4"/>
    <w:rsid w:val="00EC01D7"/>
    <w:rsid w:val="00EC0BE6"/>
    <w:rsid w:val="00EC0C30"/>
    <w:rsid w:val="00EC2B25"/>
    <w:rsid w:val="00EC32A1"/>
    <w:rsid w:val="00EC3A96"/>
    <w:rsid w:val="00EC45E9"/>
    <w:rsid w:val="00EC4A25"/>
    <w:rsid w:val="00ED02B3"/>
    <w:rsid w:val="00ED06C7"/>
    <w:rsid w:val="00ED1182"/>
    <w:rsid w:val="00ED1F02"/>
    <w:rsid w:val="00ED4400"/>
    <w:rsid w:val="00ED4AF1"/>
    <w:rsid w:val="00ED5DF0"/>
    <w:rsid w:val="00ED6B1C"/>
    <w:rsid w:val="00ED7292"/>
    <w:rsid w:val="00EE1F7F"/>
    <w:rsid w:val="00EE20EA"/>
    <w:rsid w:val="00EE2381"/>
    <w:rsid w:val="00EE4525"/>
    <w:rsid w:val="00EE4C13"/>
    <w:rsid w:val="00EE5F32"/>
    <w:rsid w:val="00EE7113"/>
    <w:rsid w:val="00EE7B5A"/>
    <w:rsid w:val="00EF4D1F"/>
    <w:rsid w:val="00EF5171"/>
    <w:rsid w:val="00EF54A2"/>
    <w:rsid w:val="00EF612C"/>
    <w:rsid w:val="00EF6568"/>
    <w:rsid w:val="00EF6BBF"/>
    <w:rsid w:val="00EF70F4"/>
    <w:rsid w:val="00EF724D"/>
    <w:rsid w:val="00EF7EBD"/>
    <w:rsid w:val="00F01225"/>
    <w:rsid w:val="00F01ACB"/>
    <w:rsid w:val="00F025A2"/>
    <w:rsid w:val="00F036E9"/>
    <w:rsid w:val="00F03B99"/>
    <w:rsid w:val="00F042D1"/>
    <w:rsid w:val="00F06531"/>
    <w:rsid w:val="00F07388"/>
    <w:rsid w:val="00F1147B"/>
    <w:rsid w:val="00F12A40"/>
    <w:rsid w:val="00F136F9"/>
    <w:rsid w:val="00F15B17"/>
    <w:rsid w:val="00F170FC"/>
    <w:rsid w:val="00F2026E"/>
    <w:rsid w:val="00F20A8B"/>
    <w:rsid w:val="00F2103C"/>
    <w:rsid w:val="00F21593"/>
    <w:rsid w:val="00F2210A"/>
    <w:rsid w:val="00F2327C"/>
    <w:rsid w:val="00F2378C"/>
    <w:rsid w:val="00F24A39"/>
    <w:rsid w:val="00F25F20"/>
    <w:rsid w:val="00F3106F"/>
    <w:rsid w:val="00F31321"/>
    <w:rsid w:val="00F31A8C"/>
    <w:rsid w:val="00F342B8"/>
    <w:rsid w:val="00F345EB"/>
    <w:rsid w:val="00F3513D"/>
    <w:rsid w:val="00F362F4"/>
    <w:rsid w:val="00F36A24"/>
    <w:rsid w:val="00F36A64"/>
    <w:rsid w:val="00F375FC"/>
    <w:rsid w:val="00F37743"/>
    <w:rsid w:val="00F415D2"/>
    <w:rsid w:val="00F42B69"/>
    <w:rsid w:val="00F43034"/>
    <w:rsid w:val="00F447FD"/>
    <w:rsid w:val="00F45659"/>
    <w:rsid w:val="00F47CC2"/>
    <w:rsid w:val="00F47F16"/>
    <w:rsid w:val="00F50661"/>
    <w:rsid w:val="00F50666"/>
    <w:rsid w:val="00F50F8D"/>
    <w:rsid w:val="00F51623"/>
    <w:rsid w:val="00F54A3D"/>
    <w:rsid w:val="00F54CB0"/>
    <w:rsid w:val="00F550E3"/>
    <w:rsid w:val="00F5554C"/>
    <w:rsid w:val="00F55AC5"/>
    <w:rsid w:val="00F5706D"/>
    <w:rsid w:val="00F579CD"/>
    <w:rsid w:val="00F57FAF"/>
    <w:rsid w:val="00F6101F"/>
    <w:rsid w:val="00F61496"/>
    <w:rsid w:val="00F6326D"/>
    <w:rsid w:val="00F634C9"/>
    <w:rsid w:val="00F653B8"/>
    <w:rsid w:val="00F67697"/>
    <w:rsid w:val="00F67DE8"/>
    <w:rsid w:val="00F67E24"/>
    <w:rsid w:val="00F707C3"/>
    <w:rsid w:val="00F714D3"/>
    <w:rsid w:val="00F71534"/>
    <w:rsid w:val="00F71B89"/>
    <w:rsid w:val="00F71E53"/>
    <w:rsid w:val="00F72253"/>
    <w:rsid w:val="00F723DB"/>
    <w:rsid w:val="00F7353C"/>
    <w:rsid w:val="00F756A3"/>
    <w:rsid w:val="00F75F46"/>
    <w:rsid w:val="00F76F8F"/>
    <w:rsid w:val="00F77333"/>
    <w:rsid w:val="00F81A1A"/>
    <w:rsid w:val="00F85353"/>
    <w:rsid w:val="00F86A79"/>
    <w:rsid w:val="00F9311F"/>
    <w:rsid w:val="00F93149"/>
    <w:rsid w:val="00F9349F"/>
    <w:rsid w:val="00F93E31"/>
    <w:rsid w:val="00F940BC"/>
    <w:rsid w:val="00F941DF"/>
    <w:rsid w:val="00F94600"/>
    <w:rsid w:val="00FA1266"/>
    <w:rsid w:val="00FA40F6"/>
    <w:rsid w:val="00FA542D"/>
    <w:rsid w:val="00FA5CA2"/>
    <w:rsid w:val="00FA6DEF"/>
    <w:rsid w:val="00FA7567"/>
    <w:rsid w:val="00FA7839"/>
    <w:rsid w:val="00FB0D54"/>
    <w:rsid w:val="00FB1899"/>
    <w:rsid w:val="00FB1DBB"/>
    <w:rsid w:val="00FB36FA"/>
    <w:rsid w:val="00FB38E1"/>
    <w:rsid w:val="00FB3DE0"/>
    <w:rsid w:val="00FB4DBE"/>
    <w:rsid w:val="00FB6976"/>
    <w:rsid w:val="00FC1192"/>
    <w:rsid w:val="00FC19A1"/>
    <w:rsid w:val="00FC4B96"/>
    <w:rsid w:val="00FC540F"/>
    <w:rsid w:val="00FC6027"/>
    <w:rsid w:val="00FC7D77"/>
    <w:rsid w:val="00FD04E6"/>
    <w:rsid w:val="00FD0D8E"/>
    <w:rsid w:val="00FD2174"/>
    <w:rsid w:val="00FD42DC"/>
    <w:rsid w:val="00FD4FE1"/>
    <w:rsid w:val="00FD6E37"/>
    <w:rsid w:val="00FD7D8B"/>
    <w:rsid w:val="00FE0C4D"/>
    <w:rsid w:val="00FE0D38"/>
    <w:rsid w:val="00FE11D8"/>
    <w:rsid w:val="00FE251B"/>
    <w:rsid w:val="00FE4E79"/>
    <w:rsid w:val="00FE68B1"/>
    <w:rsid w:val="00FE7987"/>
    <w:rsid w:val="00FF1730"/>
    <w:rsid w:val="00FF2F37"/>
    <w:rsid w:val="00FF37EF"/>
    <w:rsid w:val="00FF3B24"/>
    <w:rsid w:val="00FF3CDF"/>
    <w:rsid w:val="00FF43D5"/>
    <w:rsid w:val="00FF55D8"/>
    <w:rsid w:val="00FF617F"/>
    <w:rsid w:val="00FF78AB"/>
    <w:rsid w:val="00FF7ADF"/>
    <w:rsid w:val="0799A883"/>
    <w:rsid w:val="0C13B09E"/>
    <w:rsid w:val="1B2DEE3B"/>
    <w:rsid w:val="1B558918"/>
    <w:rsid w:val="38F07705"/>
    <w:rsid w:val="540E72BC"/>
    <w:rsid w:val="545A378B"/>
    <w:rsid w:val="583257D9"/>
    <w:rsid w:val="61973BEF"/>
    <w:rsid w:val="66AE7511"/>
    <w:rsid w:val="67A5EDBB"/>
    <w:rsid w:val="6A23CBD3"/>
    <w:rsid w:val="6CA8CCC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9744DE5"/>
  <w15:chartTrackingRefBased/>
  <w15:docId w15:val="{427A06C3-E9C3-4DCA-8950-5B284B1A9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59"/>
    <w:qFormat/>
    <w:rsid w:val="00FE0D3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题注,180-Table-Caption"/>
    <w:basedOn w:val="Normal"/>
    <w:next w:val="Normal"/>
    <w:link w:val="CaptionChar1"/>
    <w:unhideWhenUsed/>
    <w:qFormat/>
    <w:rsid w:val="00211586"/>
    <w:pPr>
      <w:spacing w:after="200"/>
    </w:pPr>
    <w:rPr>
      <w:i/>
      <w:iCs/>
      <w:color w:val="44546A" w:themeColor="text2"/>
      <w:sz w:val="18"/>
      <w:szCs w:val="18"/>
    </w:rPr>
  </w:style>
  <w:style w:type="character" w:styleId="CommentReference">
    <w:name w:val="annotation reference"/>
    <w:basedOn w:val="DefaultParagraphFont"/>
    <w:rsid w:val="00CD0229"/>
    <w:rPr>
      <w:sz w:val="16"/>
      <w:szCs w:val="16"/>
    </w:rPr>
  </w:style>
  <w:style w:type="paragraph" w:styleId="CommentText">
    <w:name w:val="annotation text"/>
    <w:basedOn w:val="Normal"/>
    <w:link w:val="CommentTextChar"/>
    <w:rsid w:val="00CD0229"/>
  </w:style>
  <w:style w:type="character" w:customStyle="1" w:styleId="CommentTextChar">
    <w:name w:val="Comment Text Char"/>
    <w:basedOn w:val="DefaultParagraphFont"/>
    <w:link w:val="CommentText"/>
    <w:rsid w:val="00CD0229"/>
    <w:rPr>
      <w:lang w:eastAsia="en-US"/>
    </w:rPr>
  </w:style>
  <w:style w:type="paragraph" w:styleId="CommentSubject">
    <w:name w:val="annotation subject"/>
    <w:basedOn w:val="CommentText"/>
    <w:next w:val="CommentText"/>
    <w:link w:val="CommentSubjectChar"/>
    <w:rsid w:val="00CD0229"/>
    <w:rPr>
      <w:b/>
      <w:bCs/>
    </w:rPr>
  </w:style>
  <w:style w:type="character" w:customStyle="1" w:styleId="CommentSubjectChar">
    <w:name w:val="Comment Subject Char"/>
    <w:basedOn w:val="CommentTextChar"/>
    <w:link w:val="CommentSubject"/>
    <w:rsid w:val="00CD0229"/>
    <w:rPr>
      <w:b/>
      <w:bCs/>
      <w:lang w:eastAsia="en-US"/>
    </w:rPr>
  </w:style>
  <w:style w:type="character" w:customStyle="1" w:styleId="ListParagraphChar">
    <w:name w:val="List Paragraph Char"/>
    <w:aliases w:val="- Bullets Char,?? ?? Char,????? Char,???? Char,Lista1 Char,中等深浅网格 1 - 着色 21 Char,¥¡¡¡¡ì¬º¥¹¥È¶ÎÂä Char,ÁÐ³ö¶ÎÂä Char,列表段落1 Char,—ño’i—Ž Char,¥ê¥¹¥È¶ÎÂä Char,1st level - Bullet List Paragraph Char,Lettre d'introduction Char,목록단락 Char"/>
    <w:link w:val="ListParagraph"/>
    <w:uiPriority w:val="34"/>
    <w:qFormat/>
    <w:locked/>
    <w:rsid w:val="00920E46"/>
    <w:rPr>
      <w:rFonts w:ascii="Calibri" w:eastAsiaTheme="minorHAnsi" w:hAnsi="Calibri" w:cs="Calibri"/>
      <w:sz w:val="22"/>
      <w:szCs w:val="22"/>
      <w:lang w:val="pl-PL"/>
    </w:rPr>
  </w:style>
  <w:style w:type="paragraph" w:styleId="ListParagraph">
    <w:name w:val="List Paragraph"/>
    <w:aliases w:val="- Bullets,?? ??,?????,????,Lista1,中等深浅网格 1 - 着色 21,¥¡¡¡¡ì¬º¥¹¥È¶ÎÂä,ÁÐ³ö¶ÎÂä,列表段落1,—ño’i—Ž,¥ê¥¹¥È¶ÎÂä,1st level - Bullet List Paragraph,Lettre d'introduction,Paragrafo elenco,Normal bullet 2,Bullet list,목록단락,列出段落1,列表段落11,列表段落,リスト段落"/>
    <w:basedOn w:val="Normal"/>
    <w:link w:val="ListParagraphChar"/>
    <w:uiPriority w:val="34"/>
    <w:qFormat/>
    <w:rsid w:val="00920E46"/>
    <w:pPr>
      <w:spacing w:after="0" w:line="256" w:lineRule="auto"/>
      <w:ind w:left="720"/>
    </w:pPr>
    <w:rPr>
      <w:rFonts w:ascii="Calibri" w:eastAsiaTheme="minorHAnsi" w:hAnsi="Calibri" w:cs="Calibri"/>
      <w:sz w:val="22"/>
      <w:szCs w:val="22"/>
      <w:lang w:val="pl-PL" w:eastAsia="en-GB"/>
    </w:rPr>
  </w:style>
  <w:style w:type="paragraph" w:styleId="Revision">
    <w:name w:val="Revision"/>
    <w:hidden/>
    <w:uiPriority w:val="99"/>
    <w:semiHidden/>
    <w:rsid w:val="00724239"/>
    <w:rPr>
      <w:lang w:eastAsia="en-US"/>
    </w:rPr>
  </w:style>
  <w:style w:type="character" w:styleId="Mention">
    <w:name w:val="Mention"/>
    <w:basedOn w:val="DefaultParagraphFont"/>
    <w:uiPriority w:val="99"/>
    <w:unhideWhenUsed/>
    <w:rsid w:val="000D5CBE"/>
    <w:rPr>
      <w:color w:val="2B579A"/>
      <w:shd w:val="clear" w:color="auto" w:fill="E1DFDD"/>
    </w:rPr>
  </w:style>
  <w:style w:type="paragraph" w:styleId="NormalWeb">
    <w:name w:val="Normal (Web)"/>
    <w:basedOn w:val="Normal"/>
    <w:uiPriority w:val="99"/>
    <w:unhideWhenUsed/>
    <w:rsid w:val="00380B8D"/>
    <w:pPr>
      <w:spacing w:before="100" w:beforeAutospacing="1" w:after="100" w:afterAutospacing="1"/>
    </w:pPr>
    <w:rPr>
      <w:sz w:val="24"/>
      <w:szCs w:val="24"/>
      <w:lang w:val="de-DE" w:eastAsia="de-D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locked/>
    <w:rsid w:val="00607E20"/>
    <w:rPr>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95654">
      <w:bodyDiv w:val="1"/>
      <w:marLeft w:val="0"/>
      <w:marRight w:val="0"/>
      <w:marTop w:val="0"/>
      <w:marBottom w:val="0"/>
      <w:divBdr>
        <w:top w:val="none" w:sz="0" w:space="0" w:color="auto"/>
        <w:left w:val="none" w:sz="0" w:space="0" w:color="auto"/>
        <w:bottom w:val="none" w:sz="0" w:space="0" w:color="auto"/>
        <w:right w:val="none" w:sz="0" w:space="0" w:color="auto"/>
      </w:divBdr>
    </w:div>
    <w:div w:id="343753827">
      <w:bodyDiv w:val="1"/>
      <w:marLeft w:val="0"/>
      <w:marRight w:val="0"/>
      <w:marTop w:val="0"/>
      <w:marBottom w:val="0"/>
      <w:divBdr>
        <w:top w:val="none" w:sz="0" w:space="0" w:color="auto"/>
        <w:left w:val="none" w:sz="0" w:space="0" w:color="auto"/>
        <w:bottom w:val="none" w:sz="0" w:space="0" w:color="auto"/>
        <w:right w:val="none" w:sz="0" w:space="0" w:color="auto"/>
      </w:divBdr>
      <w:divsChild>
        <w:div w:id="2245700">
          <w:marLeft w:val="1181"/>
          <w:marRight w:val="0"/>
          <w:marTop w:val="0"/>
          <w:marBottom w:val="120"/>
          <w:divBdr>
            <w:top w:val="none" w:sz="0" w:space="0" w:color="auto"/>
            <w:left w:val="none" w:sz="0" w:space="0" w:color="auto"/>
            <w:bottom w:val="none" w:sz="0" w:space="0" w:color="auto"/>
            <w:right w:val="none" w:sz="0" w:space="0" w:color="auto"/>
          </w:divBdr>
        </w:div>
        <w:div w:id="101807337">
          <w:marLeft w:val="1181"/>
          <w:marRight w:val="0"/>
          <w:marTop w:val="0"/>
          <w:marBottom w:val="120"/>
          <w:divBdr>
            <w:top w:val="none" w:sz="0" w:space="0" w:color="auto"/>
            <w:left w:val="none" w:sz="0" w:space="0" w:color="auto"/>
            <w:bottom w:val="none" w:sz="0" w:space="0" w:color="auto"/>
            <w:right w:val="none" w:sz="0" w:space="0" w:color="auto"/>
          </w:divBdr>
        </w:div>
        <w:div w:id="111247051">
          <w:marLeft w:val="446"/>
          <w:marRight w:val="0"/>
          <w:marTop w:val="0"/>
          <w:marBottom w:val="120"/>
          <w:divBdr>
            <w:top w:val="none" w:sz="0" w:space="0" w:color="auto"/>
            <w:left w:val="none" w:sz="0" w:space="0" w:color="auto"/>
            <w:bottom w:val="none" w:sz="0" w:space="0" w:color="auto"/>
            <w:right w:val="none" w:sz="0" w:space="0" w:color="auto"/>
          </w:divBdr>
        </w:div>
        <w:div w:id="132216959">
          <w:marLeft w:val="806"/>
          <w:marRight w:val="0"/>
          <w:marTop w:val="0"/>
          <w:marBottom w:val="120"/>
          <w:divBdr>
            <w:top w:val="none" w:sz="0" w:space="0" w:color="auto"/>
            <w:left w:val="none" w:sz="0" w:space="0" w:color="auto"/>
            <w:bottom w:val="none" w:sz="0" w:space="0" w:color="auto"/>
            <w:right w:val="none" w:sz="0" w:space="0" w:color="auto"/>
          </w:divBdr>
        </w:div>
        <w:div w:id="263197064">
          <w:marLeft w:val="806"/>
          <w:marRight w:val="0"/>
          <w:marTop w:val="0"/>
          <w:marBottom w:val="120"/>
          <w:divBdr>
            <w:top w:val="none" w:sz="0" w:space="0" w:color="auto"/>
            <w:left w:val="none" w:sz="0" w:space="0" w:color="auto"/>
            <w:bottom w:val="none" w:sz="0" w:space="0" w:color="auto"/>
            <w:right w:val="none" w:sz="0" w:space="0" w:color="auto"/>
          </w:divBdr>
        </w:div>
        <w:div w:id="426847384">
          <w:marLeft w:val="1181"/>
          <w:marRight w:val="0"/>
          <w:marTop w:val="0"/>
          <w:marBottom w:val="120"/>
          <w:divBdr>
            <w:top w:val="none" w:sz="0" w:space="0" w:color="auto"/>
            <w:left w:val="none" w:sz="0" w:space="0" w:color="auto"/>
            <w:bottom w:val="none" w:sz="0" w:space="0" w:color="auto"/>
            <w:right w:val="none" w:sz="0" w:space="0" w:color="auto"/>
          </w:divBdr>
        </w:div>
        <w:div w:id="581068756">
          <w:marLeft w:val="806"/>
          <w:marRight w:val="0"/>
          <w:marTop w:val="0"/>
          <w:marBottom w:val="120"/>
          <w:divBdr>
            <w:top w:val="none" w:sz="0" w:space="0" w:color="auto"/>
            <w:left w:val="none" w:sz="0" w:space="0" w:color="auto"/>
            <w:bottom w:val="none" w:sz="0" w:space="0" w:color="auto"/>
            <w:right w:val="none" w:sz="0" w:space="0" w:color="auto"/>
          </w:divBdr>
        </w:div>
        <w:div w:id="610864426">
          <w:marLeft w:val="446"/>
          <w:marRight w:val="0"/>
          <w:marTop w:val="0"/>
          <w:marBottom w:val="120"/>
          <w:divBdr>
            <w:top w:val="none" w:sz="0" w:space="0" w:color="auto"/>
            <w:left w:val="none" w:sz="0" w:space="0" w:color="auto"/>
            <w:bottom w:val="none" w:sz="0" w:space="0" w:color="auto"/>
            <w:right w:val="none" w:sz="0" w:space="0" w:color="auto"/>
          </w:divBdr>
        </w:div>
        <w:div w:id="665212109">
          <w:marLeft w:val="1181"/>
          <w:marRight w:val="0"/>
          <w:marTop w:val="0"/>
          <w:marBottom w:val="120"/>
          <w:divBdr>
            <w:top w:val="none" w:sz="0" w:space="0" w:color="auto"/>
            <w:left w:val="none" w:sz="0" w:space="0" w:color="auto"/>
            <w:bottom w:val="none" w:sz="0" w:space="0" w:color="auto"/>
            <w:right w:val="none" w:sz="0" w:space="0" w:color="auto"/>
          </w:divBdr>
        </w:div>
        <w:div w:id="691028260">
          <w:marLeft w:val="1541"/>
          <w:marRight w:val="0"/>
          <w:marTop w:val="0"/>
          <w:marBottom w:val="120"/>
          <w:divBdr>
            <w:top w:val="none" w:sz="0" w:space="0" w:color="auto"/>
            <w:left w:val="none" w:sz="0" w:space="0" w:color="auto"/>
            <w:bottom w:val="none" w:sz="0" w:space="0" w:color="auto"/>
            <w:right w:val="none" w:sz="0" w:space="0" w:color="auto"/>
          </w:divBdr>
        </w:div>
        <w:div w:id="1027292517">
          <w:marLeft w:val="1181"/>
          <w:marRight w:val="0"/>
          <w:marTop w:val="0"/>
          <w:marBottom w:val="120"/>
          <w:divBdr>
            <w:top w:val="none" w:sz="0" w:space="0" w:color="auto"/>
            <w:left w:val="none" w:sz="0" w:space="0" w:color="auto"/>
            <w:bottom w:val="none" w:sz="0" w:space="0" w:color="auto"/>
            <w:right w:val="none" w:sz="0" w:space="0" w:color="auto"/>
          </w:divBdr>
        </w:div>
        <w:div w:id="1119643062">
          <w:marLeft w:val="1181"/>
          <w:marRight w:val="0"/>
          <w:marTop w:val="0"/>
          <w:marBottom w:val="120"/>
          <w:divBdr>
            <w:top w:val="none" w:sz="0" w:space="0" w:color="auto"/>
            <w:left w:val="none" w:sz="0" w:space="0" w:color="auto"/>
            <w:bottom w:val="none" w:sz="0" w:space="0" w:color="auto"/>
            <w:right w:val="none" w:sz="0" w:space="0" w:color="auto"/>
          </w:divBdr>
        </w:div>
        <w:div w:id="1199854168">
          <w:marLeft w:val="806"/>
          <w:marRight w:val="0"/>
          <w:marTop w:val="0"/>
          <w:marBottom w:val="120"/>
          <w:divBdr>
            <w:top w:val="none" w:sz="0" w:space="0" w:color="auto"/>
            <w:left w:val="none" w:sz="0" w:space="0" w:color="auto"/>
            <w:bottom w:val="none" w:sz="0" w:space="0" w:color="auto"/>
            <w:right w:val="none" w:sz="0" w:space="0" w:color="auto"/>
          </w:divBdr>
        </w:div>
        <w:div w:id="1413820895">
          <w:marLeft w:val="1181"/>
          <w:marRight w:val="0"/>
          <w:marTop w:val="0"/>
          <w:marBottom w:val="120"/>
          <w:divBdr>
            <w:top w:val="none" w:sz="0" w:space="0" w:color="auto"/>
            <w:left w:val="none" w:sz="0" w:space="0" w:color="auto"/>
            <w:bottom w:val="none" w:sz="0" w:space="0" w:color="auto"/>
            <w:right w:val="none" w:sz="0" w:space="0" w:color="auto"/>
          </w:divBdr>
        </w:div>
        <w:div w:id="1487699877">
          <w:marLeft w:val="806"/>
          <w:marRight w:val="0"/>
          <w:marTop w:val="0"/>
          <w:marBottom w:val="120"/>
          <w:divBdr>
            <w:top w:val="none" w:sz="0" w:space="0" w:color="auto"/>
            <w:left w:val="none" w:sz="0" w:space="0" w:color="auto"/>
            <w:bottom w:val="none" w:sz="0" w:space="0" w:color="auto"/>
            <w:right w:val="none" w:sz="0" w:space="0" w:color="auto"/>
          </w:divBdr>
        </w:div>
        <w:div w:id="1581910784">
          <w:marLeft w:val="446"/>
          <w:marRight w:val="0"/>
          <w:marTop w:val="0"/>
          <w:marBottom w:val="120"/>
          <w:divBdr>
            <w:top w:val="none" w:sz="0" w:space="0" w:color="auto"/>
            <w:left w:val="none" w:sz="0" w:space="0" w:color="auto"/>
            <w:bottom w:val="none" w:sz="0" w:space="0" w:color="auto"/>
            <w:right w:val="none" w:sz="0" w:space="0" w:color="auto"/>
          </w:divBdr>
        </w:div>
        <w:div w:id="1676302904">
          <w:marLeft w:val="1541"/>
          <w:marRight w:val="0"/>
          <w:marTop w:val="0"/>
          <w:marBottom w:val="120"/>
          <w:divBdr>
            <w:top w:val="none" w:sz="0" w:space="0" w:color="auto"/>
            <w:left w:val="none" w:sz="0" w:space="0" w:color="auto"/>
            <w:bottom w:val="none" w:sz="0" w:space="0" w:color="auto"/>
            <w:right w:val="none" w:sz="0" w:space="0" w:color="auto"/>
          </w:divBdr>
        </w:div>
        <w:div w:id="1713994725">
          <w:marLeft w:val="1181"/>
          <w:marRight w:val="0"/>
          <w:marTop w:val="0"/>
          <w:marBottom w:val="120"/>
          <w:divBdr>
            <w:top w:val="none" w:sz="0" w:space="0" w:color="auto"/>
            <w:left w:val="none" w:sz="0" w:space="0" w:color="auto"/>
            <w:bottom w:val="none" w:sz="0" w:space="0" w:color="auto"/>
            <w:right w:val="none" w:sz="0" w:space="0" w:color="auto"/>
          </w:divBdr>
        </w:div>
        <w:div w:id="1739549323">
          <w:marLeft w:val="1541"/>
          <w:marRight w:val="0"/>
          <w:marTop w:val="0"/>
          <w:marBottom w:val="120"/>
          <w:divBdr>
            <w:top w:val="none" w:sz="0" w:space="0" w:color="auto"/>
            <w:left w:val="none" w:sz="0" w:space="0" w:color="auto"/>
            <w:bottom w:val="none" w:sz="0" w:space="0" w:color="auto"/>
            <w:right w:val="none" w:sz="0" w:space="0" w:color="auto"/>
          </w:divBdr>
        </w:div>
        <w:div w:id="1914775959">
          <w:marLeft w:val="1181"/>
          <w:marRight w:val="0"/>
          <w:marTop w:val="0"/>
          <w:marBottom w:val="120"/>
          <w:divBdr>
            <w:top w:val="none" w:sz="0" w:space="0" w:color="auto"/>
            <w:left w:val="none" w:sz="0" w:space="0" w:color="auto"/>
            <w:bottom w:val="none" w:sz="0" w:space="0" w:color="auto"/>
            <w:right w:val="none" w:sz="0" w:space="0" w:color="auto"/>
          </w:divBdr>
        </w:div>
        <w:div w:id="2131393354">
          <w:marLeft w:val="806"/>
          <w:marRight w:val="0"/>
          <w:marTop w:val="0"/>
          <w:marBottom w:val="120"/>
          <w:divBdr>
            <w:top w:val="none" w:sz="0" w:space="0" w:color="auto"/>
            <w:left w:val="none" w:sz="0" w:space="0" w:color="auto"/>
            <w:bottom w:val="none" w:sz="0" w:space="0" w:color="auto"/>
            <w:right w:val="none" w:sz="0" w:space="0" w:color="auto"/>
          </w:divBdr>
        </w:div>
      </w:divsChild>
    </w:div>
    <w:div w:id="540896078">
      <w:bodyDiv w:val="1"/>
      <w:marLeft w:val="0"/>
      <w:marRight w:val="0"/>
      <w:marTop w:val="0"/>
      <w:marBottom w:val="0"/>
      <w:divBdr>
        <w:top w:val="none" w:sz="0" w:space="0" w:color="auto"/>
        <w:left w:val="none" w:sz="0" w:space="0" w:color="auto"/>
        <w:bottom w:val="none" w:sz="0" w:space="0" w:color="auto"/>
        <w:right w:val="none" w:sz="0" w:space="0" w:color="auto"/>
      </w:divBdr>
      <w:divsChild>
        <w:div w:id="613484542">
          <w:marLeft w:val="806"/>
          <w:marRight w:val="0"/>
          <w:marTop w:val="0"/>
          <w:marBottom w:val="120"/>
          <w:divBdr>
            <w:top w:val="none" w:sz="0" w:space="0" w:color="auto"/>
            <w:left w:val="none" w:sz="0" w:space="0" w:color="auto"/>
            <w:bottom w:val="none" w:sz="0" w:space="0" w:color="auto"/>
            <w:right w:val="none" w:sz="0" w:space="0" w:color="auto"/>
          </w:divBdr>
        </w:div>
        <w:div w:id="853688367">
          <w:marLeft w:val="806"/>
          <w:marRight w:val="0"/>
          <w:marTop w:val="0"/>
          <w:marBottom w:val="120"/>
          <w:divBdr>
            <w:top w:val="none" w:sz="0" w:space="0" w:color="auto"/>
            <w:left w:val="none" w:sz="0" w:space="0" w:color="auto"/>
            <w:bottom w:val="none" w:sz="0" w:space="0" w:color="auto"/>
            <w:right w:val="none" w:sz="0" w:space="0" w:color="auto"/>
          </w:divBdr>
        </w:div>
        <w:div w:id="1021131241">
          <w:marLeft w:val="1181"/>
          <w:marRight w:val="0"/>
          <w:marTop w:val="0"/>
          <w:marBottom w:val="120"/>
          <w:divBdr>
            <w:top w:val="none" w:sz="0" w:space="0" w:color="auto"/>
            <w:left w:val="none" w:sz="0" w:space="0" w:color="auto"/>
            <w:bottom w:val="none" w:sz="0" w:space="0" w:color="auto"/>
            <w:right w:val="none" w:sz="0" w:space="0" w:color="auto"/>
          </w:divBdr>
        </w:div>
        <w:div w:id="1043021412">
          <w:marLeft w:val="1181"/>
          <w:marRight w:val="0"/>
          <w:marTop w:val="0"/>
          <w:marBottom w:val="120"/>
          <w:divBdr>
            <w:top w:val="none" w:sz="0" w:space="0" w:color="auto"/>
            <w:left w:val="none" w:sz="0" w:space="0" w:color="auto"/>
            <w:bottom w:val="none" w:sz="0" w:space="0" w:color="auto"/>
            <w:right w:val="none" w:sz="0" w:space="0" w:color="auto"/>
          </w:divBdr>
        </w:div>
        <w:div w:id="1059785739">
          <w:marLeft w:val="1181"/>
          <w:marRight w:val="0"/>
          <w:marTop w:val="0"/>
          <w:marBottom w:val="120"/>
          <w:divBdr>
            <w:top w:val="none" w:sz="0" w:space="0" w:color="auto"/>
            <w:left w:val="none" w:sz="0" w:space="0" w:color="auto"/>
            <w:bottom w:val="none" w:sz="0" w:space="0" w:color="auto"/>
            <w:right w:val="none" w:sz="0" w:space="0" w:color="auto"/>
          </w:divBdr>
        </w:div>
        <w:div w:id="1317798883">
          <w:marLeft w:val="806"/>
          <w:marRight w:val="0"/>
          <w:marTop w:val="0"/>
          <w:marBottom w:val="120"/>
          <w:divBdr>
            <w:top w:val="none" w:sz="0" w:space="0" w:color="auto"/>
            <w:left w:val="none" w:sz="0" w:space="0" w:color="auto"/>
            <w:bottom w:val="none" w:sz="0" w:space="0" w:color="auto"/>
            <w:right w:val="none" w:sz="0" w:space="0" w:color="auto"/>
          </w:divBdr>
        </w:div>
        <w:div w:id="1380977658">
          <w:marLeft w:val="446"/>
          <w:marRight w:val="0"/>
          <w:marTop w:val="0"/>
          <w:marBottom w:val="120"/>
          <w:divBdr>
            <w:top w:val="none" w:sz="0" w:space="0" w:color="auto"/>
            <w:left w:val="none" w:sz="0" w:space="0" w:color="auto"/>
            <w:bottom w:val="none" w:sz="0" w:space="0" w:color="auto"/>
            <w:right w:val="none" w:sz="0" w:space="0" w:color="auto"/>
          </w:divBdr>
        </w:div>
        <w:div w:id="1957909228">
          <w:marLeft w:val="1181"/>
          <w:marRight w:val="0"/>
          <w:marTop w:val="0"/>
          <w:marBottom w:val="120"/>
          <w:divBdr>
            <w:top w:val="none" w:sz="0" w:space="0" w:color="auto"/>
            <w:left w:val="none" w:sz="0" w:space="0" w:color="auto"/>
            <w:bottom w:val="none" w:sz="0" w:space="0" w:color="auto"/>
            <w:right w:val="none" w:sz="0" w:space="0" w:color="auto"/>
          </w:divBdr>
        </w:div>
      </w:divsChild>
    </w:div>
    <w:div w:id="574707413">
      <w:bodyDiv w:val="1"/>
      <w:marLeft w:val="0"/>
      <w:marRight w:val="0"/>
      <w:marTop w:val="0"/>
      <w:marBottom w:val="0"/>
      <w:divBdr>
        <w:top w:val="none" w:sz="0" w:space="0" w:color="auto"/>
        <w:left w:val="none" w:sz="0" w:space="0" w:color="auto"/>
        <w:bottom w:val="none" w:sz="0" w:space="0" w:color="auto"/>
        <w:right w:val="none" w:sz="0" w:space="0" w:color="auto"/>
      </w:divBdr>
    </w:div>
    <w:div w:id="652026012">
      <w:bodyDiv w:val="1"/>
      <w:marLeft w:val="0"/>
      <w:marRight w:val="0"/>
      <w:marTop w:val="0"/>
      <w:marBottom w:val="0"/>
      <w:divBdr>
        <w:top w:val="none" w:sz="0" w:space="0" w:color="auto"/>
        <w:left w:val="none" w:sz="0" w:space="0" w:color="auto"/>
        <w:bottom w:val="none" w:sz="0" w:space="0" w:color="auto"/>
        <w:right w:val="none" w:sz="0" w:space="0" w:color="auto"/>
      </w:divBdr>
    </w:div>
    <w:div w:id="679042384">
      <w:bodyDiv w:val="1"/>
      <w:marLeft w:val="0"/>
      <w:marRight w:val="0"/>
      <w:marTop w:val="0"/>
      <w:marBottom w:val="0"/>
      <w:divBdr>
        <w:top w:val="none" w:sz="0" w:space="0" w:color="auto"/>
        <w:left w:val="none" w:sz="0" w:space="0" w:color="auto"/>
        <w:bottom w:val="none" w:sz="0" w:space="0" w:color="auto"/>
        <w:right w:val="none" w:sz="0" w:space="0" w:color="auto"/>
      </w:divBdr>
    </w:div>
    <w:div w:id="857887971">
      <w:bodyDiv w:val="1"/>
      <w:marLeft w:val="0"/>
      <w:marRight w:val="0"/>
      <w:marTop w:val="0"/>
      <w:marBottom w:val="0"/>
      <w:divBdr>
        <w:top w:val="none" w:sz="0" w:space="0" w:color="auto"/>
        <w:left w:val="none" w:sz="0" w:space="0" w:color="auto"/>
        <w:bottom w:val="none" w:sz="0" w:space="0" w:color="auto"/>
        <w:right w:val="none" w:sz="0" w:space="0" w:color="auto"/>
      </w:divBdr>
    </w:div>
    <w:div w:id="88895619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7205304">
      <w:bodyDiv w:val="1"/>
      <w:marLeft w:val="0"/>
      <w:marRight w:val="0"/>
      <w:marTop w:val="0"/>
      <w:marBottom w:val="0"/>
      <w:divBdr>
        <w:top w:val="none" w:sz="0" w:space="0" w:color="auto"/>
        <w:left w:val="none" w:sz="0" w:space="0" w:color="auto"/>
        <w:bottom w:val="none" w:sz="0" w:space="0" w:color="auto"/>
        <w:right w:val="none" w:sz="0" w:space="0" w:color="auto"/>
      </w:divBdr>
      <w:divsChild>
        <w:div w:id="167059866">
          <w:marLeft w:val="1181"/>
          <w:marRight w:val="0"/>
          <w:marTop w:val="0"/>
          <w:marBottom w:val="120"/>
          <w:divBdr>
            <w:top w:val="none" w:sz="0" w:space="0" w:color="auto"/>
            <w:left w:val="none" w:sz="0" w:space="0" w:color="auto"/>
            <w:bottom w:val="none" w:sz="0" w:space="0" w:color="auto"/>
            <w:right w:val="none" w:sz="0" w:space="0" w:color="auto"/>
          </w:divBdr>
        </w:div>
        <w:div w:id="276178280">
          <w:marLeft w:val="806"/>
          <w:marRight w:val="0"/>
          <w:marTop w:val="0"/>
          <w:marBottom w:val="120"/>
          <w:divBdr>
            <w:top w:val="none" w:sz="0" w:space="0" w:color="auto"/>
            <w:left w:val="none" w:sz="0" w:space="0" w:color="auto"/>
            <w:bottom w:val="none" w:sz="0" w:space="0" w:color="auto"/>
            <w:right w:val="none" w:sz="0" w:space="0" w:color="auto"/>
          </w:divBdr>
        </w:div>
        <w:div w:id="524363556">
          <w:marLeft w:val="446"/>
          <w:marRight w:val="0"/>
          <w:marTop w:val="0"/>
          <w:marBottom w:val="120"/>
          <w:divBdr>
            <w:top w:val="none" w:sz="0" w:space="0" w:color="auto"/>
            <w:left w:val="none" w:sz="0" w:space="0" w:color="auto"/>
            <w:bottom w:val="none" w:sz="0" w:space="0" w:color="auto"/>
            <w:right w:val="none" w:sz="0" w:space="0" w:color="auto"/>
          </w:divBdr>
        </w:div>
        <w:div w:id="1105658896">
          <w:marLeft w:val="1181"/>
          <w:marRight w:val="0"/>
          <w:marTop w:val="0"/>
          <w:marBottom w:val="120"/>
          <w:divBdr>
            <w:top w:val="none" w:sz="0" w:space="0" w:color="auto"/>
            <w:left w:val="none" w:sz="0" w:space="0" w:color="auto"/>
            <w:bottom w:val="none" w:sz="0" w:space="0" w:color="auto"/>
            <w:right w:val="none" w:sz="0" w:space="0" w:color="auto"/>
          </w:divBdr>
        </w:div>
        <w:div w:id="1223054144">
          <w:marLeft w:val="806"/>
          <w:marRight w:val="0"/>
          <w:marTop w:val="0"/>
          <w:marBottom w:val="120"/>
          <w:divBdr>
            <w:top w:val="none" w:sz="0" w:space="0" w:color="auto"/>
            <w:left w:val="none" w:sz="0" w:space="0" w:color="auto"/>
            <w:bottom w:val="none" w:sz="0" w:space="0" w:color="auto"/>
            <w:right w:val="none" w:sz="0" w:space="0" w:color="auto"/>
          </w:divBdr>
        </w:div>
        <w:div w:id="1814638927">
          <w:marLeft w:val="1181"/>
          <w:marRight w:val="0"/>
          <w:marTop w:val="0"/>
          <w:marBottom w:val="120"/>
          <w:divBdr>
            <w:top w:val="none" w:sz="0" w:space="0" w:color="auto"/>
            <w:left w:val="none" w:sz="0" w:space="0" w:color="auto"/>
            <w:bottom w:val="none" w:sz="0" w:space="0" w:color="auto"/>
            <w:right w:val="none" w:sz="0" w:space="0" w:color="auto"/>
          </w:divBdr>
        </w:div>
      </w:divsChild>
    </w:div>
    <w:div w:id="1277132546">
      <w:bodyDiv w:val="1"/>
      <w:marLeft w:val="0"/>
      <w:marRight w:val="0"/>
      <w:marTop w:val="0"/>
      <w:marBottom w:val="0"/>
      <w:divBdr>
        <w:top w:val="none" w:sz="0" w:space="0" w:color="auto"/>
        <w:left w:val="none" w:sz="0" w:space="0" w:color="auto"/>
        <w:bottom w:val="none" w:sz="0" w:space="0" w:color="auto"/>
        <w:right w:val="none" w:sz="0" w:space="0" w:color="auto"/>
      </w:divBdr>
    </w:div>
    <w:div w:id="1294677451">
      <w:bodyDiv w:val="1"/>
      <w:marLeft w:val="0"/>
      <w:marRight w:val="0"/>
      <w:marTop w:val="0"/>
      <w:marBottom w:val="0"/>
      <w:divBdr>
        <w:top w:val="none" w:sz="0" w:space="0" w:color="auto"/>
        <w:left w:val="none" w:sz="0" w:space="0" w:color="auto"/>
        <w:bottom w:val="none" w:sz="0" w:space="0" w:color="auto"/>
        <w:right w:val="none" w:sz="0" w:space="0" w:color="auto"/>
      </w:divBdr>
      <w:divsChild>
        <w:div w:id="111486369">
          <w:marLeft w:val="1181"/>
          <w:marRight w:val="0"/>
          <w:marTop w:val="0"/>
          <w:marBottom w:val="120"/>
          <w:divBdr>
            <w:top w:val="none" w:sz="0" w:space="0" w:color="auto"/>
            <w:left w:val="none" w:sz="0" w:space="0" w:color="auto"/>
            <w:bottom w:val="none" w:sz="0" w:space="0" w:color="auto"/>
            <w:right w:val="none" w:sz="0" w:space="0" w:color="auto"/>
          </w:divBdr>
        </w:div>
        <w:div w:id="408116893">
          <w:marLeft w:val="1541"/>
          <w:marRight w:val="0"/>
          <w:marTop w:val="0"/>
          <w:marBottom w:val="120"/>
          <w:divBdr>
            <w:top w:val="none" w:sz="0" w:space="0" w:color="auto"/>
            <w:left w:val="none" w:sz="0" w:space="0" w:color="auto"/>
            <w:bottom w:val="none" w:sz="0" w:space="0" w:color="auto"/>
            <w:right w:val="none" w:sz="0" w:space="0" w:color="auto"/>
          </w:divBdr>
        </w:div>
        <w:div w:id="601305094">
          <w:marLeft w:val="1181"/>
          <w:marRight w:val="0"/>
          <w:marTop w:val="0"/>
          <w:marBottom w:val="120"/>
          <w:divBdr>
            <w:top w:val="none" w:sz="0" w:space="0" w:color="auto"/>
            <w:left w:val="none" w:sz="0" w:space="0" w:color="auto"/>
            <w:bottom w:val="none" w:sz="0" w:space="0" w:color="auto"/>
            <w:right w:val="none" w:sz="0" w:space="0" w:color="auto"/>
          </w:divBdr>
        </w:div>
        <w:div w:id="601762527">
          <w:marLeft w:val="806"/>
          <w:marRight w:val="0"/>
          <w:marTop w:val="0"/>
          <w:marBottom w:val="120"/>
          <w:divBdr>
            <w:top w:val="none" w:sz="0" w:space="0" w:color="auto"/>
            <w:left w:val="none" w:sz="0" w:space="0" w:color="auto"/>
            <w:bottom w:val="none" w:sz="0" w:space="0" w:color="auto"/>
            <w:right w:val="none" w:sz="0" w:space="0" w:color="auto"/>
          </w:divBdr>
        </w:div>
        <w:div w:id="650326084">
          <w:marLeft w:val="1181"/>
          <w:marRight w:val="0"/>
          <w:marTop w:val="0"/>
          <w:marBottom w:val="120"/>
          <w:divBdr>
            <w:top w:val="none" w:sz="0" w:space="0" w:color="auto"/>
            <w:left w:val="none" w:sz="0" w:space="0" w:color="auto"/>
            <w:bottom w:val="none" w:sz="0" w:space="0" w:color="auto"/>
            <w:right w:val="none" w:sz="0" w:space="0" w:color="auto"/>
          </w:divBdr>
        </w:div>
        <w:div w:id="1064795389">
          <w:marLeft w:val="1181"/>
          <w:marRight w:val="0"/>
          <w:marTop w:val="0"/>
          <w:marBottom w:val="120"/>
          <w:divBdr>
            <w:top w:val="none" w:sz="0" w:space="0" w:color="auto"/>
            <w:left w:val="none" w:sz="0" w:space="0" w:color="auto"/>
            <w:bottom w:val="none" w:sz="0" w:space="0" w:color="auto"/>
            <w:right w:val="none" w:sz="0" w:space="0" w:color="auto"/>
          </w:divBdr>
        </w:div>
        <w:div w:id="1082799084">
          <w:marLeft w:val="806"/>
          <w:marRight w:val="0"/>
          <w:marTop w:val="0"/>
          <w:marBottom w:val="120"/>
          <w:divBdr>
            <w:top w:val="none" w:sz="0" w:space="0" w:color="auto"/>
            <w:left w:val="none" w:sz="0" w:space="0" w:color="auto"/>
            <w:bottom w:val="none" w:sz="0" w:space="0" w:color="auto"/>
            <w:right w:val="none" w:sz="0" w:space="0" w:color="auto"/>
          </w:divBdr>
        </w:div>
        <w:div w:id="1096436515">
          <w:marLeft w:val="1181"/>
          <w:marRight w:val="0"/>
          <w:marTop w:val="0"/>
          <w:marBottom w:val="120"/>
          <w:divBdr>
            <w:top w:val="none" w:sz="0" w:space="0" w:color="auto"/>
            <w:left w:val="none" w:sz="0" w:space="0" w:color="auto"/>
            <w:bottom w:val="none" w:sz="0" w:space="0" w:color="auto"/>
            <w:right w:val="none" w:sz="0" w:space="0" w:color="auto"/>
          </w:divBdr>
        </w:div>
        <w:div w:id="1173908854">
          <w:marLeft w:val="1541"/>
          <w:marRight w:val="0"/>
          <w:marTop w:val="0"/>
          <w:marBottom w:val="120"/>
          <w:divBdr>
            <w:top w:val="none" w:sz="0" w:space="0" w:color="auto"/>
            <w:left w:val="none" w:sz="0" w:space="0" w:color="auto"/>
            <w:bottom w:val="none" w:sz="0" w:space="0" w:color="auto"/>
            <w:right w:val="none" w:sz="0" w:space="0" w:color="auto"/>
          </w:divBdr>
        </w:div>
        <w:div w:id="1265725524">
          <w:marLeft w:val="1181"/>
          <w:marRight w:val="0"/>
          <w:marTop w:val="0"/>
          <w:marBottom w:val="120"/>
          <w:divBdr>
            <w:top w:val="none" w:sz="0" w:space="0" w:color="auto"/>
            <w:left w:val="none" w:sz="0" w:space="0" w:color="auto"/>
            <w:bottom w:val="none" w:sz="0" w:space="0" w:color="auto"/>
            <w:right w:val="none" w:sz="0" w:space="0" w:color="auto"/>
          </w:divBdr>
        </w:div>
        <w:div w:id="1295452551">
          <w:marLeft w:val="446"/>
          <w:marRight w:val="0"/>
          <w:marTop w:val="0"/>
          <w:marBottom w:val="120"/>
          <w:divBdr>
            <w:top w:val="none" w:sz="0" w:space="0" w:color="auto"/>
            <w:left w:val="none" w:sz="0" w:space="0" w:color="auto"/>
            <w:bottom w:val="none" w:sz="0" w:space="0" w:color="auto"/>
            <w:right w:val="none" w:sz="0" w:space="0" w:color="auto"/>
          </w:divBdr>
        </w:div>
        <w:div w:id="1790706026">
          <w:marLeft w:val="1181"/>
          <w:marRight w:val="0"/>
          <w:marTop w:val="0"/>
          <w:marBottom w:val="120"/>
          <w:divBdr>
            <w:top w:val="none" w:sz="0" w:space="0" w:color="auto"/>
            <w:left w:val="none" w:sz="0" w:space="0" w:color="auto"/>
            <w:bottom w:val="none" w:sz="0" w:space="0" w:color="auto"/>
            <w:right w:val="none" w:sz="0" w:space="0" w:color="auto"/>
          </w:divBdr>
        </w:div>
        <w:div w:id="1844081324">
          <w:marLeft w:val="1541"/>
          <w:marRight w:val="0"/>
          <w:marTop w:val="0"/>
          <w:marBottom w:val="120"/>
          <w:divBdr>
            <w:top w:val="none" w:sz="0" w:space="0" w:color="auto"/>
            <w:left w:val="none" w:sz="0" w:space="0" w:color="auto"/>
            <w:bottom w:val="none" w:sz="0" w:space="0" w:color="auto"/>
            <w:right w:val="none" w:sz="0" w:space="0" w:color="auto"/>
          </w:divBdr>
        </w:div>
        <w:div w:id="1877156743">
          <w:marLeft w:val="1541"/>
          <w:marRight w:val="0"/>
          <w:marTop w:val="0"/>
          <w:marBottom w:val="120"/>
          <w:divBdr>
            <w:top w:val="none" w:sz="0" w:space="0" w:color="auto"/>
            <w:left w:val="none" w:sz="0" w:space="0" w:color="auto"/>
            <w:bottom w:val="none" w:sz="0" w:space="0" w:color="auto"/>
            <w:right w:val="none" w:sz="0" w:space="0" w:color="auto"/>
          </w:divBdr>
        </w:div>
        <w:div w:id="1928541426">
          <w:marLeft w:val="1541"/>
          <w:marRight w:val="0"/>
          <w:marTop w:val="0"/>
          <w:marBottom w:val="120"/>
          <w:divBdr>
            <w:top w:val="none" w:sz="0" w:space="0" w:color="auto"/>
            <w:left w:val="none" w:sz="0" w:space="0" w:color="auto"/>
            <w:bottom w:val="none" w:sz="0" w:space="0" w:color="auto"/>
            <w:right w:val="none" w:sz="0" w:space="0" w:color="auto"/>
          </w:divBdr>
        </w:div>
        <w:div w:id="2057005384">
          <w:marLeft w:val="806"/>
          <w:marRight w:val="0"/>
          <w:marTop w:val="0"/>
          <w:marBottom w:val="120"/>
          <w:divBdr>
            <w:top w:val="none" w:sz="0" w:space="0" w:color="auto"/>
            <w:left w:val="none" w:sz="0" w:space="0" w:color="auto"/>
            <w:bottom w:val="none" w:sz="0" w:space="0" w:color="auto"/>
            <w:right w:val="none" w:sz="0" w:space="0" w:color="auto"/>
          </w:divBdr>
        </w:div>
      </w:divsChild>
    </w:div>
    <w:div w:id="1351712566">
      <w:bodyDiv w:val="1"/>
      <w:marLeft w:val="0"/>
      <w:marRight w:val="0"/>
      <w:marTop w:val="0"/>
      <w:marBottom w:val="0"/>
      <w:divBdr>
        <w:top w:val="none" w:sz="0" w:space="0" w:color="auto"/>
        <w:left w:val="none" w:sz="0" w:space="0" w:color="auto"/>
        <w:bottom w:val="none" w:sz="0" w:space="0" w:color="auto"/>
        <w:right w:val="none" w:sz="0" w:space="0" w:color="auto"/>
      </w:divBdr>
    </w:div>
    <w:div w:id="1354304466">
      <w:bodyDiv w:val="1"/>
      <w:marLeft w:val="0"/>
      <w:marRight w:val="0"/>
      <w:marTop w:val="0"/>
      <w:marBottom w:val="0"/>
      <w:divBdr>
        <w:top w:val="none" w:sz="0" w:space="0" w:color="auto"/>
        <w:left w:val="none" w:sz="0" w:space="0" w:color="auto"/>
        <w:bottom w:val="none" w:sz="0" w:space="0" w:color="auto"/>
        <w:right w:val="none" w:sz="0" w:space="0" w:color="auto"/>
      </w:divBdr>
    </w:div>
    <w:div w:id="1551578261">
      <w:bodyDiv w:val="1"/>
      <w:marLeft w:val="0"/>
      <w:marRight w:val="0"/>
      <w:marTop w:val="0"/>
      <w:marBottom w:val="0"/>
      <w:divBdr>
        <w:top w:val="none" w:sz="0" w:space="0" w:color="auto"/>
        <w:left w:val="none" w:sz="0" w:space="0" w:color="auto"/>
        <w:bottom w:val="none" w:sz="0" w:space="0" w:color="auto"/>
        <w:right w:val="none" w:sz="0" w:space="0" w:color="auto"/>
      </w:divBdr>
    </w:div>
    <w:div w:id="1778911938">
      <w:bodyDiv w:val="1"/>
      <w:marLeft w:val="0"/>
      <w:marRight w:val="0"/>
      <w:marTop w:val="0"/>
      <w:marBottom w:val="0"/>
      <w:divBdr>
        <w:top w:val="none" w:sz="0" w:space="0" w:color="auto"/>
        <w:left w:val="none" w:sz="0" w:space="0" w:color="auto"/>
        <w:bottom w:val="none" w:sz="0" w:space="0" w:color="auto"/>
        <w:right w:val="none" w:sz="0" w:space="0" w:color="auto"/>
      </w:divBdr>
      <w:divsChild>
        <w:div w:id="200828548">
          <w:marLeft w:val="806"/>
          <w:marRight w:val="0"/>
          <w:marTop w:val="0"/>
          <w:marBottom w:val="120"/>
          <w:divBdr>
            <w:top w:val="none" w:sz="0" w:space="0" w:color="auto"/>
            <w:left w:val="none" w:sz="0" w:space="0" w:color="auto"/>
            <w:bottom w:val="none" w:sz="0" w:space="0" w:color="auto"/>
            <w:right w:val="none" w:sz="0" w:space="0" w:color="auto"/>
          </w:divBdr>
        </w:div>
        <w:div w:id="733284278">
          <w:marLeft w:val="806"/>
          <w:marRight w:val="0"/>
          <w:marTop w:val="0"/>
          <w:marBottom w:val="120"/>
          <w:divBdr>
            <w:top w:val="none" w:sz="0" w:space="0" w:color="auto"/>
            <w:left w:val="none" w:sz="0" w:space="0" w:color="auto"/>
            <w:bottom w:val="none" w:sz="0" w:space="0" w:color="auto"/>
            <w:right w:val="none" w:sz="0" w:space="0" w:color="auto"/>
          </w:divBdr>
        </w:div>
        <w:div w:id="1464615673">
          <w:marLeft w:val="1181"/>
          <w:marRight w:val="0"/>
          <w:marTop w:val="0"/>
          <w:marBottom w:val="120"/>
          <w:divBdr>
            <w:top w:val="none" w:sz="0" w:space="0" w:color="auto"/>
            <w:left w:val="none" w:sz="0" w:space="0" w:color="auto"/>
            <w:bottom w:val="none" w:sz="0" w:space="0" w:color="auto"/>
            <w:right w:val="none" w:sz="0" w:space="0" w:color="auto"/>
          </w:divBdr>
        </w:div>
        <w:div w:id="1481119443">
          <w:marLeft w:val="446"/>
          <w:marRight w:val="0"/>
          <w:marTop w:val="0"/>
          <w:marBottom w:val="120"/>
          <w:divBdr>
            <w:top w:val="none" w:sz="0" w:space="0" w:color="auto"/>
            <w:left w:val="none" w:sz="0" w:space="0" w:color="auto"/>
            <w:bottom w:val="none" w:sz="0" w:space="0" w:color="auto"/>
            <w:right w:val="none" w:sz="0" w:space="0" w:color="auto"/>
          </w:divBdr>
        </w:div>
      </w:divsChild>
    </w:div>
    <w:div w:id="1913392175">
      <w:bodyDiv w:val="1"/>
      <w:marLeft w:val="0"/>
      <w:marRight w:val="0"/>
      <w:marTop w:val="0"/>
      <w:marBottom w:val="0"/>
      <w:divBdr>
        <w:top w:val="none" w:sz="0" w:space="0" w:color="auto"/>
        <w:left w:val="none" w:sz="0" w:space="0" w:color="auto"/>
        <w:bottom w:val="none" w:sz="0" w:space="0" w:color="auto"/>
        <w:right w:val="none" w:sz="0" w:space="0" w:color="auto"/>
      </w:divBdr>
    </w:div>
    <w:div w:id="1952786149">
      <w:bodyDiv w:val="1"/>
      <w:marLeft w:val="0"/>
      <w:marRight w:val="0"/>
      <w:marTop w:val="0"/>
      <w:marBottom w:val="0"/>
      <w:divBdr>
        <w:top w:val="none" w:sz="0" w:space="0" w:color="auto"/>
        <w:left w:val="none" w:sz="0" w:space="0" w:color="auto"/>
        <w:bottom w:val="none" w:sz="0" w:space="0" w:color="auto"/>
        <w:right w:val="none" w:sz="0" w:space="0" w:color="auto"/>
      </w:divBdr>
      <w:divsChild>
        <w:div w:id="6520559">
          <w:marLeft w:val="1181"/>
          <w:marRight w:val="0"/>
          <w:marTop w:val="0"/>
          <w:marBottom w:val="120"/>
          <w:divBdr>
            <w:top w:val="none" w:sz="0" w:space="0" w:color="auto"/>
            <w:left w:val="none" w:sz="0" w:space="0" w:color="auto"/>
            <w:bottom w:val="none" w:sz="0" w:space="0" w:color="auto"/>
            <w:right w:val="none" w:sz="0" w:space="0" w:color="auto"/>
          </w:divBdr>
        </w:div>
        <w:div w:id="675420061">
          <w:marLeft w:val="1181"/>
          <w:marRight w:val="0"/>
          <w:marTop w:val="0"/>
          <w:marBottom w:val="120"/>
          <w:divBdr>
            <w:top w:val="none" w:sz="0" w:space="0" w:color="auto"/>
            <w:left w:val="none" w:sz="0" w:space="0" w:color="auto"/>
            <w:bottom w:val="none" w:sz="0" w:space="0" w:color="auto"/>
            <w:right w:val="none" w:sz="0" w:space="0" w:color="auto"/>
          </w:divBdr>
        </w:div>
        <w:div w:id="936641854">
          <w:marLeft w:val="806"/>
          <w:marRight w:val="0"/>
          <w:marTop w:val="0"/>
          <w:marBottom w:val="120"/>
          <w:divBdr>
            <w:top w:val="none" w:sz="0" w:space="0" w:color="auto"/>
            <w:left w:val="none" w:sz="0" w:space="0" w:color="auto"/>
            <w:bottom w:val="none" w:sz="0" w:space="0" w:color="auto"/>
            <w:right w:val="none" w:sz="0" w:space="0" w:color="auto"/>
          </w:divBdr>
        </w:div>
        <w:div w:id="1083382494">
          <w:marLeft w:val="1181"/>
          <w:marRight w:val="0"/>
          <w:marTop w:val="0"/>
          <w:marBottom w:val="120"/>
          <w:divBdr>
            <w:top w:val="none" w:sz="0" w:space="0" w:color="auto"/>
            <w:left w:val="none" w:sz="0" w:space="0" w:color="auto"/>
            <w:bottom w:val="none" w:sz="0" w:space="0" w:color="auto"/>
            <w:right w:val="none" w:sz="0" w:space="0" w:color="auto"/>
          </w:divBdr>
        </w:div>
        <w:div w:id="1188059737">
          <w:marLeft w:val="1181"/>
          <w:marRight w:val="0"/>
          <w:marTop w:val="0"/>
          <w:marBottom w:val="120"/>
          <w:divBdr>
            <w:top w:val="none" w:sz="0" w:space="0" w:color="auto"/>
            <w:left w:val="none" w:sz="0" w:space="0" w:color="auto"/>
            <w:bottom w:val="none" w:sz="0" w:space="0" w:color="auto"/>
            <w:right w:val="none" w:sz="0" w:space="0" w:color="auto"/>
          </w:divBdr>
        </w:div>
        <w:div w:id="1325472318">
          <w:marLeft w:val="1181"/>
          <w:marRight w:val="0"/>
          <w:marTop w:val="0"/>
          <w:marBottom w:val="120"/>
          <w:divBdr>
            <w:top w:val="none" w:sz="0" w:space="0" w:color="auto"/>
            <w:left w:val="none" w:sz="0" w:space="0" w:color="auto"/>
            <w:bottom w:val="none" w:sz="0" w:space="0" w:color="auto"/>
            <w:right w:val="none" w:sz="0" w:space="0" w:color="auto"/>
          </w:divBdr>
        </w:div>
        <w:div w:id="1342195021">
          <w:marLeft w:val="1181"/>
          <w:marRight w:val="0"/>
          <w:marTop w:val="0"/>
          <w:marBottom w:val="120"/>
          <w:divBdr>
            <w:top w:val="none" w:sz="0" w:space="0" w:color="auto"/>
            <w:left w:val="none" w:sz="0" w:space="0" w:color="auto"/>
            <w:bottom w:val="none" w:sz="0" w:space="0" w:color="auto"/>
            <w:right w:val="none" w:sz="0" w:space="0" w:color="auto"/>
          </w:divBdr>
        </w:div>
        <w:div w:id="1382825347">
          <w:marLeft w:val="1181"/>
          <w:marRight w:val="0"/>
          <w:marTop w:val="0"/>
          <w:marBottom w:val="120"/>
          <w:divBdr>
            <w:top w:val="none" w:sz="0" w:space="0" w:color="auto"/>
            <w:left w:val="none" w:sz="0" w:space="0" w:color="auto"/>
            <w:bottom w:val="none" w:sz="0" w:space="0" w:color="auto"/>
            <w:right w:val="none" w:sz="0" w:space="0" w:color="auto"/>
          </w:divBdr>
        </w:div>
        <w:div w:id="1475414416">
          <w:marLeft w:val="1541"/>
          <w:marRight w:val="0"/>
          <w:marTop w:val="0"/>
          <w:marBottom w:val="120"/>
          <w:divBdr>
            <w:top w:val="none" w:sz="0" w:space="0" w:color="auto"/>
            <w:left w:val="none" w:sz="0" w:space="0" w:color="auto"/>
            <w:bottom w:val="none" w:sz="0" w:space="0" w:color="auto"/>
            <w:right w:val="none" w:sz="0" w:space="0" w:color="auto"/>
          </w:divBdr>
        </w:div>
        <w:div w:id="1981419660">
          <w:marLeft w:val="446"/>
          <w:marRight w:val="0"/>
          <w:marTop w:val="0"/>
          <w:marBottom w:val="120"/>
          <w:divBdr>
            <w:top w:val="none" w:sz="0" w:space="0" w:color="auto"/>
            <w:left w:val="none" w:sz="0" w:space="0" w:color="auto"/>
            <w:bottom w:val="none" w:sz="0" w:space="0" w:color="auto"/>
            <w:right w:val="none" w:sz="0" w:space="0" w:color="auto"/>
          </w:divBdr>
        </w:div>
        <w:div w:id="2061131209">
          <w:marLeft w:val="806"/>
          <w:marRight w:val="0"/>
          <w:marTop w:val="0"/>
          <w:marBottom w:val="120"/>
          <w:divBdr>
            <w:top w:val="none" w:sz="0" w:space="0" w:color="auto"/>
            <w:left w:val="none" w:sz="0" w:space="0" w:color="auto"/>
            <w:bottom w:val="none" w:sz="0" w:space="0" w:color="auto"/>
            <w:right w:val="none" w:sz="0" w:space="0" w:color="auto"/>
          </w:divBdr>
        </w:div>
      </w:divsChild>
    </w:div>
    <w:div w:id="2044939442">
      <w:bodyDiv w:val="1"/>
      <w:marLeft w:val="0"/>
      <w:marRight w:val="0"/>
      <w:marTop w:val="0"/>
      <w:marBottom w:val="0"/>
      <w:divBdr>
        <w:top w:val="none" w:sz="0" w:space="0" w:color="auto"/>
        <w:left w:val="none" w:sz="0" w:space="0" w:color="auto"/>
        <w:bottom w:val="none" w:sz="0" w:space="0" w:color="auto"/>
        <w:right w:val="none" w:sz="0" w:space="0" w:color="auto"/>
      </w:divBdr>
    </w:div>
    <w:div w:id="205897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hart" Target="charts/chart1.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https://nokia.sharepoint.com/sites/c5g/projects/IIoT/Shared%20Documents/2020_IIoT_WP2_RAN%20enhancements/TSC%20Synchronization/Meetings/20-02-06%20Time%20synchronization%20accuracy%20analysis.xlsx" TargetMode="Externa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v>No PDC</c:v>
          </c:tx>
          <c:spPr>
            <a:ln w="19050" cap="rnd">
              <a:solidFill>
                <a:schemeClr val="bg2">
                  <a:lumMod val="10000"/>
                </a:schemeClr>
              </a:solidFill>
              <a:prstDash val="dash"/>
              <a:round/>
            </a:ln>
            <a:effectLst/>
          </c:spPr>
          <c:marker>
            <c:symbol val="circle"/>
            <c:size val="5"/>
            <c:spPr>
              <a:noFill/>
              <a:ln w="9525">
                <a:noFill/>
              </a:ln>
              <a:effectLst/>
            </c:spPr>
          </c:marker>
          <c:xVal>
            <c:numRef>
              <c:f>'UE-UE'!$G$4:$G$19</c:f>
              <c:numCache>
                <c:formatCode>0</c:formatCode>
                <c:ptCount val="16"/>
                <c:pt idx="0">
                  <c:v>0</c:v>
                </c:pt>
                <c:pt idx="1">
                  <c:v>50.03461427972281</c:v>
                </c:pt>
                <c:pt idx="2">
                  <c:v>100.06922855944562</c:v>
                </c:pt>
                <c:pt idx="3">
                  <c:v>150.10384283916841</c:v>
                </c:pt>
                <c:pt idx="4">
                  <c:v>200.13845711889124</c:v>
                </c:pt>
                <c:pt idx="5">
                  <c:v>250.17307139861404</c:v>
                </c:pt>
                <c:pt idx="6">
                  <c:v>300.20768567833682</c:v>
                </c:pt>
                <c:pt idx="7">
                  <c:v>350.24229995805962</c:v>
                </c:pt>
                <c:pt idx="8">
                  <c:v>400.27691423778248</c:v>
                </c:pt>
                <c:pt idx="9">
                  <c:v>450.31152851750528</c:v>
                </c:pt>
                <c:pt idx="10">
                  <c:v>500.34614279722808</c:v>
                </c:pt>
                <c:pt idx="11">
                  <c:v>550.38075707695089</c:v>
                </c:pt>
                <c:pt idx="12">
                  <c:v>600.41537135667363</c:v>
                </c:pt>
                <c:pt idx="13">
                  <c:v>650.44998563639649</c:v>
                </c:pt>
                <c:pt idx="14">
                  <c:v>700.48459991611924</c:v>
                </c:pt>
                <c:pt idx="15">
                  <c:v>750.5192141958421</c:v>
                </c:pt>
              </c:numCache>
            </c:numRef>
          </c:xVal>
          <c:yVal>
            <c:numRef>
              <c:f>'UE-UE'!$B$4:$B$10</c:f>
              <c:numCache>
                <c:formatCode>0</c:formatCode>
                <c:ptCount val="7"/>
                <c:pt idx="0">
                  <c:v>32.5</c:v>
                </c:pt>
                <c:pt idx="1">
                  <c:v>82.534614279722803</c:v>
                </c:pt>
                <c:pt idx="2">
                  <c:v>132.56922855944561</c:v>
                </c:pt>
                <c:pt idx="3">
                  <c:v>182.60384283916841</c:v>
                </c:pt>
                <c:pt idx="4">
                  <c:v>232.63845711889124</c:v>
                </c:pt>
                <c:pt idx="5">
                  <c:v>282.67307139861407</c:v>
                </c:pt>
                <c:pt idx="6">
                  <c:v>332.70768567833682</c:v>
                </c:pt>
              </c:numCache>
            </c:numRef>
          </c:yVal>
          <c:smooth val="0"/>
          <c:extLst>
            <c:ext xmlns:c16="http://schemas.microsoft.com/office/drawing/2014/chart" uri="{C3380CC4-5D6E-409C-BE32-E72D297353CC}">
              <c16:uniqueId val="{00000000-7006-4733-B8D9-C82CF26CC7AE}"/>
            </c:ext>
          </c:extLst>
        </c:ser>
        <c:ser>
          <c:idx val="2"/>
          <c:order val="1"/>
          <c:tx>
            <c:v>Option 2</c:v>
          </c:tx>
          <c:spPr>
            <a:ln w="19050" cap="rnd">
              <a:solidFill>
                <a:schemeClr val="accent1">
                  <a:lumMod val="50000"/>
                </a:schemeClr>
              </a:solidFill>
              <a:round/>
            </a:ln>
            <a:effectLst/>
          </c:spPr>
          <c:marker>
            <c:symbol val="circle"/>
            <c:size val="5"/>
            <c:spPr>
              <a:noFill/>
              <a:ln w="9525">
                <a:noFill/>
              </a:ln>
              <a:effectLst/>
            </c:spPr>
          </c:marker>
          <c:xVal>
            <c:numRef>
              <c:f>'UE-UE'!$G$4:$G$10</c:f>
              <c:numCache>
                <c:formatCode>0</c:formatCode>
                <c:ptCount val="7"/>
                <c:pt idx="0">
                  <c:v>0</c:v>
                </c:pt>
                <c:pt idx="1">
                  <c:v>50.03461427972281</c:v>
                </c:pt>
                <c:pt idx="2">
                  <c:v>100.06922855944562</c:v>
                </c:pt>
                <c:pt idx="3">
                  <c:v>150.10384283916841</c:v>
                </c:pt>
                <c:pt idx="4">
                  <c:v>200.13845711889124</c:v>
                </c:pt>
                <c:pt idx="5">
                  <c:v>250.17307139861404</c:v>
                </c:pt>
                <c:pt idx="6">
                  <c:v>300.20768567833682</c:v>
                </c:pt>
              </c:numCache>
            </c:numRef>
          </c:xVal>
          <c:yVal>
            <c:numRef>
              <c:f>'UE-UE'!$B$41:$B$56</c:f>
              <c:numCache>
                <c:formatCode>0</c:formatCode>
                <c:ptCount val="16"/>
                <c:pt idx="0">
                  <c:v>136.5</c:v>
                </c:pt>
                <c:pt idx="1">
                  <c:v>136.5</c:v>
                </c:pt>
                <c:pt idx="2">
                  <c:v>136.5</c:v>
                </c:pt>
                <c:pt idx="3">
                  <c:v>136.5</c:v>
                </c:pt>
                <c:pt idx="4">
                  <c:v>136.5</c:v>
                </c:pt>
                <c:pt idx="5">
                  <c:v>136.5</c:v>
                </c:pt>
                <c:pt idx="6">
                  <c:v>136.5</c:v>
                </c:pt>
                <c:pt idx="7">
                  <c:v>136.5</c:v>
                </c:pt>
                <c:pt idx="8">
                  <c:v>136.5</c:v>
                </c:pt>
                <c:pt idx="9">
                  <c:v>136.5</c:v>
                </c:pt>
                <c:pt idx="10">
                  <c:v>136.5</c:v>
                </c:pt>
                <c:pt idx="11">
                  <c:v>136.5</c:v>
                </c:pt>
                <c:pt idx="12">
                  <c:v>136.5</c:v>
                </c:pt>
                <c:pt idx="13">
                  <c:v>136.5</c:v>
                </c:pt>
                <c:pt idx="14">
                  <c:v>136.5</c:v>
                </c:pt>
                <c:pt idx="15">
                  <c:v>136.5</c:v>
                </c:pt>
              </c:numCache>
            </c:numRef>
          </c:yVal>
          <c:smooth val="0"/>
          <c:extLst>
            <c:ext xmlns:c16="http://schemas.microsoft.com/office/drawing/2014/chart" uri="{C3380CC4-5D6E-409C-BE32-E72D297353CC}">
              <c16:uniqueId val="{00000001-7006-4733-B8D9-C82CF26CC7AE}"/>
            </c:ext>
          </c:extLst>
        </c:ser>
        <c:ser>
          <c:idx val="1"/>
          <c:order val="2"/>
          <c:tx>
            <c:v>Budget</c:v>
          </c:tx>
          <c:spPr>
            <a:ln w="19050" cap="rnd">
              <a:solidFill>
                <a:srgbClr val="FF0000"/>
              </a:solidFill>
              <a:round/>
            </a:ln>
            <a:effectLst/>
          </c:spPr>
          <c:marker>
            <c:symbol val="circle"/>
            <c:size val="5"/>
            <c:spPr>
              <a:noFill/>
              <a:ln w="9525">
                <a:noFill/>
              </a:ln>
              <a:effectLst/>
            </c:spPr>
          </c:marker>
          <c:xVal>
            <c:numRef>
              <c:f>'UE-UE'!$G$4:$G$10</c:f>
              <c:numCache>
                <c:formatCode>0</c:formatCode>
                <c:ptCount val="7"/>
                <c:pt idx="0">
                  <c:v>0</c:v>
                </c:pt>
                <c:pt idx="1">
                  <c:v>50.03461427972281</c:v>
                </c:pt>
                <c:pt idx="2">
                  <c:v>100.06922855944562</c:v>
                </c:pt>
                <c:pt idx="3">
                  <c:v>150.10384283916841</c:v>
                </c:pt>
                <c:pt idx="4">
                  <c:v>200.13845711889124</c:v>
                </c:pt>
                <c:pt idx="5">
                  <c:v>250.17307139861404</c:v>
                </c:pt>
                <c:pt idx="6">
                  <c:v>300.20768567833682</c:v>
                </c:pt>
              </c:numCache>
            </c:numRef>
          </c:xVal>
          <c:yVal>
            <c:numRef>
              <c:f>'UE-UE'!$B$59:$B$74</c:f>
              <c:numCache>
                <c:formatCode>General</c:formatCode>
                <c:ptCount val="16"/>
                <c:pt idx="0">
                  <c:v>275</c:v>
                </c:pt>
                <c:pt idx="1">
                  <c:v>275</c:v>
                </c:pt>
                <c:pt idx="2">
                  <c:v>275</c:v>
                </c:pt>
                <c:pt idx="3">
                  <c:v>275</c:v>
                </c:pt>
                <c:pt idx="4">
                  <c:v>275</c:v>
                </c:pt>
                <c:pt idx="5">
                  <c:v>275</c:v>
                </c:pt>
                <c:pt idx="6">
                  <c:v>275</c:v>
                </c:pt>
                <c:pt idx="7">
                  <c:v>275</c:v>
                </c:pt>
                <c:pt idx="8">
                  <c:v>275</c:v>
                </c:pt>
                <c:pt idx="9">
                  <c:v>275</c:v>
                </c:pt>
                <c:pt idx="10">
                  <c:v>275</c:v>
                </c:pt>
                <c:pt idx="11">
                  <c:v>275</c:v>
                </c:pt>
                <c:pt idx="12">
                  <c:v>275</c:v>
                </c:pt>
                <c:pt idx="13">
                  <c:v>275</c:v>
                </c:pt>
                <c:pt idx="14">
                  <c:v>275</c:v>
                </c:pt>
                <c:pt idx="15">
                  <c:v>275</c:v>
                </c:pt>
              </c:numCache>
            </c:numRef>
          </c:yVal>
          <c:smooth val="0"/>
          <c:extLst>
            <c:ext xmlns:c16="http://schemas.microsoft.com/office/drawing/2014/chart" uri="{C3380CC4-5D6E-409C-BE32-E72D297353CC}">
              <c16:uniqueId val="{00000002-7006-4733-B8D9-C82CF26CC7AE}"/>
            </c:ext>
          </c:extLst>
        </c:ser>
        <c:dLbls>
          <c:showLegendKey val="0"/>
          <c:showVal val="0"/>
          <c:showCatName val="0"/>
          <c:showSerName val="0"/>
          <c:showPercent val="0"/>
          <c:showBubbleSize val="0"/>
        </c:dLbls>
        <c:axId val="1087308808"/>
        <c:axId val="1087308480"/>
      </c:scatterChart>
      <c:valAx>
        <c:axId val="108730880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Maximum PD</a:t>
                </a:r>
                <a:r>
                  <a:rPr lang="en-US" baseline="0"/>
                  <a:t> difference of any two UEs</a:t>
                </a:r>
                <a:r>
                  <a:rPr lang="en-US"/>
                  <a:t> [ns]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87308480"/>
        <c:crosses val="autoZero"/>
        <c:crossBetween val="midCat"/>
      </c:valAx>
      <c:valAx>
        <c:axId val="108730848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Time synchronization accuracy [ns]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87308808"/>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0.58616</cdr:x>
      <cdr:y>0.21305</cdr:y>
    </cdr:from>
    <cdr:to>
      <cdr:x>0.58616</cdr:x>
      <cdr:y>0.80957</cdr:y>
    </cdr:to>
    <cdr:cxnSp macro="">
      <cdr:nvCxnSpPr>
        <cdr:cNvPr id="3" name="Straight Connector 2"/>
        <cdr:cNvCxnSpPr/>
      </cdr:nvCxnSpPr>
      <cdr:spPr>
        <a:xfrm xmlns:a="http://schemas.openxmlformats.org/drawingml/2006/main">
          <a:off x="3403159" y="636105"/>
          <a:ext cx="0" cy="1781092"/>
        </a:xfrm>
        <a:prstGeom xmlns:a="http://schemas.openxmlformats.org/drawingml/2006/main" prst="line">
          <a:avLst/>
        </a:prstGeom>
        <a:ln xmlns:a="http://schemas.openxmlformats.org/drawingml/2006/main" w="19050">
          <a:solidFill>
            <a:schemeClr val="bg2">
              <a:lumMod val="75000"/>
            </a:schemeClr>
          </a:solidFill>
          <a:prstDash val="lgDash"/>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0.30868</cdr:x>
      <cdr:y>0.51397</cdr:y>
    </cdr:from>
    <cdr:to>
      <cdr:x>0.30868</cdr:x>
      <cdr:y>0.80794</cdr:y>
    </cdr:to>
    <cdr:cxnSp macro="">
      <cdr:nvCxnSpPr>
        <cdr:cNvPr id="4" name="Straight Connector 3"/>
        <cdr:cNvCxnSpPr/>
      </cdr:nvCxnSpPr>
      <cdr:spPr>
        <a:xfrm xmlns:a="http://schemas.openxmlformats.org/drawingml/2006/main">
          <a:off x="1792137" y="1534602"/>
          <a:ext cx="0" cy="877735"/>
        </a:xfrm>
        <a:prstGeom xmlns:a="http://schemas.openxmlformats.org/drawingml/2006/main" prst="line">
          <a:avLst/>
        </a:prstGeom>
        <a:ln xmlns:a="http://schemas.openxmlformats.org/drawingml/2006/main" w="19050">
          <a:solidFill>
            <a:schemeClr val="bg2">
              <a:lumMod val="75000"/>
            </a:schemeClr>
          </a:solidFill>
          <a:prstDash val="lgDash"/>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5AIRPNAIUNRU-859666464-8926</_dlc_DocId>
    <_dlc_DocIdUrl xmlns="71c5aaf6-e6ce-465b-b873-5148d2a4c105">
      <Url>https://nokia.sharepoint.com/sites/c5g/e2earch/_layouts/15/DocIdRedir.aspx?ID=5AIRPNAIUNRU-859666464-8926</Url>
      <Description>5AIRPNAIUNRU-859666464-8926</Description>
    </_dlc_DocIdUrl>
    <Information xmlns="3b34c8f0-1ef5-4d1e-bb66-517ce7fe7356" xsi:nil="true"/>
    <Associated_x0020_Task xmlns="3b34c8f0-1ef5-4d1e-bb66-517ce7fe7356"/>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37E3FF-906B-4F2A-869D-D32FFA62103B}">
  <ds:schemaRefs>
    <ds:schemaRef ds:uri="http://schemas.openxmlformats.org/officeDocument/2006/bibliography"/>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90D3EE8F-2CA8-499F-A3FC-4976D3050D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5</Pages>
  <Words>2206</Words>
  <Characters>11927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14105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3972</cp:revision>
  <dcterms:created xsi:type="dcterms:W3CDTF">2016-08-12T21:53:00Z</dcterms:created>
  <dcterms:modified xsi:type="dcterms:W3CDTF">2021-05-10T15:07:00Z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d40aae57-5c32-411b-b9fd-50efe9aa4076</vt:lpwstr>
  </property>
</Properties>
</file>